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62" w:rsidRDefault="00806EEC">
      <w:pPr>
        <w:spacing w:line="520" w:lineRule="exact"/>
        <w:jc w:val="center"/>
        <w:rPr>
          <w:rFonts w:eastAsia="方正小标宋简体"/>
          <w:color w:val="000000" w:themeColor="text1"/>
          <w:sz w:val="44"/>
          <w:szCs w:val="44"/>
        </w:rPr>
      </w:pPr>
      <w:bookmarkStart w:id="0" w:name="_GoBack"/>
      <w:bookmarkEnd w:id="0"/>
      <w:r>
        <w:rPr>
          <w:rFonts w:eastAsia="方正小标宋简体"/>
          <w:color w:val="000000" w:themeColor="text1"/>
          <w:sz w:val="44"/>
          <w:szCs w:val="44"/>
        </w:rPr>
        <w:t>高密度脂蛋白胆固醇测定试剂（盒）</w:t>
      </w:r>
    </w:p>
    <w:p w:rsidR="00990962" w:rsidRDefault="00806EEC">
      <w:pPr>
        <w:spacing w:line="520" w:lineRule="exact"/>
        <w:jc w:val="center"/>
        <w:rPr>
          <w:rFonts w:eastAsia="方正小标宋简体"/>
          <w:color w:val="000000" w:themeColor="text1"/>
          <w:sz w:val="44"/>
          <w:szCs w:val="44"/>
        </w:rPr>
      </w:pPr>
      <w:r>
        <w:rPr>
          <w:rFonts w:eastAsia="方正小标宋简体"/>
          <w:color w:val="000000" w:themeColor="text1"/>
          <w:sz w:val="44"/>
          <w:szCs w:val="44"/>
        </w:rPr>
        <w:t>注册技术审查指导原则</w:t>
      </w:r>
      <w:r w:rsidR="009772E8">
        <w:rPr>
          <w:rFonts w:eastAsia="方正小标宋简体" w:hint="eastAsia"/>
          <w:color w:val="000000" w:themeColor="text1"/>
          <w:sz w:val="44"/>
          <w:szCs w:val="44"/>
        </w:rPr>
        <w:t>(</w:t>
      </w:r>
      <w:r w:rsidR="009772E8">
        <w:rPr>
          <w:rFonts w:eastAsia="方正小标宋简体" w:hint="eastAsia"/>
          <w:color w:val="000000" w:themeColor="text1"/>
          <w:sz w:val="44"/>
          <w:szCs w:val="44"/>
        </w:rPr>
        <w:t>征求意见稿</w:t>
      </w:r>
      <w:r w:rsidR="009772E8">
        <w:rPr>
          <w:rFonts w:eastAsia="方正小标宋简体" w:hint="eastAsia"/>
          <w:color w:val="000000" w:themeColor="text1"/>
          <w:sz w:val="44"/>
          <w:szCs w:val="44"/>
        </w:rPr>
        <w:t>)</w:t>
      </w:r>
    </w:p>
    <w:p w:rsidR="00990962" w:rsidRDefault="00990962">
      <w:pPr>
        <w:spacing w:line="240" w:lineRule="exact"/>
        <w:ind w:rightChars="-32" w:right="-67"/>
        <w:jc w:val="center"/>
        <w:rPr>
          <w:rFonts w:eastAsia="方正小标宋_GBK"/>
          <w:color w:val="000000" w:themeColor="text1"/>
          <w:sz w:val="32"/>
          <w:szCs w:val="32"/>
        </w:rPr>
      </w:pP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本指导原则旨在指导注册申请人对高密度脂蛋白胆固醇测定试剂（盒）注册申报资料的准备及撰写，同时也为技术审评部门审评注册申报资料提供参考。</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本指导原则是对高密度脂蛋白胆固醇测定试剂（盒）的一般要求，申请人应依据产品的具体特性确定其中内容是否适用，若不适用，需具体阐述理由及相应的科学依据，并依据产品的具体特性对注册申报资料的内容进行充实和细化。</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990962" w:rsidRDefault="00806EEC">
      <w:pPr>
        <w:spacing w:line="520" w:lineRule="exact"/>
        <w:ind w:firstLineChars="200" w:firstLine="640"/>
        <w:rPr>
          <w:rFonts w:eastAsia="仿宋_GB2312"/>
          <w:bCs/>
          <w:color w:val="000000" w:themeColor="text1"/>
          <w:sz w:val="32"/>
          <w:szCs w:val="32"/>
        </w:rPr>
      </w:pPr>
      <w:r>
        <w:rPr>
          <w:rFonts w:eastAsia="仿宋" w:hAnsi="仿宋"/>
          <w:bCs/>
          <w:color w:val="000000" w:themeColor="text1"/>
          <w:sz w:val="32"/>
          <w:szCs w:val="32"/>
        </w:rPr>
        <w:t>本指导原则是在现行法规、标准体系及当前认知水平下制定的，随着法规、标准体系的不断完善和科学技术的不断发展，本指导原则相关内容也将适时进行调整。</w:t>
      </w:r>
    </w:p>
    <w:p w:rsidR="00990962" w:rsidRDefault="00806EEC">
      <w:pPr>
        <w:spacing w:line="520" w:lineRule="exact"/>
        <w:ind w:firstLineChars="200" w:firstLine="640"/>
        <w:rPr>
          <w:rFonts w:eastAsia="黑体"/>
          <w:color w:val="000000" w:themeColor="text1"/>
          <w:sz w:val="32"/>
          <w:szCs w:val="30"/>
        </w:rPr>
      </w:pPr>
      <w:r>
        <w:rPr>
          <w:rFonts w:eastAsia="黑体"/>
          <w:color w:val="000000" w:themeColor="text1"/>
          <w:sz w:val="32"/>
          <w:szCs w:val="30"/>
        </w:rPr>
        <w:t>一、适用范围</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高密度脂蛋白胆固醇测定试剂（盒）用于体外定量测定人血清或血浆中高密度脂蛋白胆固醇的含量。</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本指导原则适用于采用分光光度法原理，利用全自动、半自动生化分析仪或分光光度计，进行高密度脂蛋白胆固醇定量检验所使用的临床化学体外诊断试剂。</w:t>
      </w:r>
    </w:p>
    <w:p w:rsidR="00990962" w:rsidRDefault="00806EEC">
      <w:pPr>
        <w:spacing w:line="520" w:lineRule="exact"/>
        <w:ind w:firstLineChars="200" w:firstLine="640"/>
        <w:rPr>
          <w:rFonts w:eastAsia="仿宋_GB2312"/>
          <w:bCs/>
          <w:color w:val="000000" w:themeColor="text1"/>
          <w:sz w:val="32"/>
          <w:szCs w:val="32"/>
        </w:rPr>
      </w:pPr>
      <w:r>
        <w:rPr>
          <w:rFonts w:eastAsia="仿宋" w:hAnsi="仿宋"/>
          <w:bCs/>
          <w:color w:val="000000" w:themeColor="text1"/>
          <w:sz w:val="32"/>
          <w:szCs w:val="32"/>
        </w:rPr>
        <w:t>依据《体外诊断试剂注册管理办法》（国家食品药品监督管理总局令第</w:t>
      </w:r>
      <w:r>
        <w:rPr>
          <w:rFonts w:eastAsia="仿宋"/>
          <w:bCs/>
          <w:color w:val="000000" w:themeColor="text1"/>
          <w:sz w:val="32"/>
          <w:szCs w:val="32"/>
        </w:rPr>
        <w:t>5</w:t>
      </w:r>
      <w:r>
        <w:rPr>
          <w:rFonts w:eastAsia="仿宋" w:hAnsi="仿宋"/>
          <w:bCs/>
          <w:color w:val="000000" w:themeColor="text1"/>
          <w:sz w:val="32"/>
          <w:szCs w:val="32"/>
        </w:rPr>
        <w:t>号）、《食品药品监管总局关于印发体外诊断试剂分类子目录的通知》（食药</w:t>
      </w:r>
      <w:proofErr w:type="gramStart"/>
      <w:r>
        <w:rPr>
          <w:rFonts w:eastAsia="仿宋" w:hAnsi="仿宋"/>
          <w:bCs/>
          <w:color w:val="000000" w:themeColor="text1"/>
          <w:sz w:val="32"/>
          <w:szCs w:val="32"/>
        </w:rPr>
        <w:t>监械管</w:t>
      </w:r>
      <w:proofErr w:type="gramEnd"/>
      <w:r>
        <w:rPr>
          <w:rFonts w:eastAsia="仿宋" w:hAnsi="仿宋"/>
          <w:bCs/>
          <w:color w:val="000000" w:themeColor="text1"/>
          <w:sz w:val="32"/>
          <w:szCs w:val="32"/>
        </w:rPr>
        <w:t>〔</w:t>
      </w:r>
      <w:r>
        <w:rPr>
          <w:rFonts w:eastAsia="仿宋"/>
          <w:bCs/>
          <w:color w:val="000000" w:themeColor="text1"/>
          <w:sz w:val="32"/>
          <w:szCs w:val="32"/>
        </w:rPr>
        <w:t>2013</w:t>
      </w:r>
      <w:r>
        <w:rPr>
          <w:rFonts w:eastAsia="仿宋" w:hAnsi="仿宋"/>
          <w:bCs/>
          <w:color w:val="000000" w:themeColor="text1"/>
          <w:sz w:val="32"/>
          <w:szCs w:val="32"/>
        </w:rPr>
        <w:t>〕</w:t>
      </w:r>
      <w:r>
        <w:rPr>
          <w:rFonts w:eastAsia="仿宋"/>
          <w:bCs/>
          <w:color w:val="000000" w:themeColor="text1"/>
          <w:sz w:val="32"/>
          <w:szCs w:val="32"/>
        </w:rPr>
        <w:t>242</w:t>
      </w:r>
      <w:r>
        <w:rPr>
          <w:rFonts w:eastAsia="仿宋" w:hAnsi="仿宋"/>
          <w:bCs/>
          <w:color w:val="000000" w:themeColor="text1"/>
          <w:sz w:val="32"/>
          <w:szCs w:val="32"/>
        </w:rPr>
        <w:t>号），高密度脂蛋白</w:t>
      </w:r>
      <w:r>
        <w:rPr>
          <w:rFonts w:eastAsia="仿宋" w:hAnsi="仿宋"/>
          <w:bCs/>
          <w:color w:val="000000" w:themeColor="text1"/>
          <w:sz w:val="32"/>
          <w:szCs w:val="32"/>
        </w:rPr>
        <w:lastRenderedPageBreak/>
        <w:t>胆固醇测定试剂（盒）管理类别为Ⅱ类，分类代码为</w:t>
      </w:r>
      <w:r>
        <w:rPr>
          <w:rFonts w:eastAsia="仿宋"/>
          <w:bCs/>
          <w:color w:val="000000" w:themeColor="text1"/>
          <w:sz w:val="32"/>
          <w:szCs w:val="32"/>
        </w:rPr>
        <w:t>6840</w:t>
      </w:r>
      <w:r>
        <w:rPr>
          <w:rFonts w:eastAsia="仿宋" w:hAnsi="仿宋"/>
          <w:bCs/>
          <w:color w:val="000000" w:themeColor="text1"/>
          <w:sz w:val="32"/>
          <w:szCs w:val="32"/>
        </w:rPr>
        <w:t>。</w:t>
      </w:r>
    </w:p>
    <w:p w:rsidR="00990962" w:rsidRDefault="00806EEC">
      <w:pPr>
        <w:spacing w:line="520" w:lineRule="exact"/>
        <w:ind w:firstLineChars="200" w:firstLine="640"/>
        <w:rPr>
          <w:rFonts w:eastAsia="黑体"/>
          <w:color w:val="000000" w:themeColor="text1"/>
          <w:sz w:val="32"/>
          <w:szCs w:val="30"/>
        </w:rPr>
      </w:pPr>
      <w:r>
        <w:rPr>
          <w:rFonts w:eastAsia="黑体"/>
          <w:color w:val="000000" w:themeColor="text1"/>
          <w:sz w:val="32"/>
          <w:szCs w:val="30"/>
        </w:rPr>
        <w:t>二、注册申报资料要求</w:t>
      </w:r>
    </w:p>
    <w:p w:rsidR="00990962" w:rsidRDefault="00806EEC">
      <w:pPr>
        <w:spacing w:line="520" w:lineRule="exact"/>
        <w:ind w:firstLineChars="200" w:firstLine="640"/>
        <w:rPr>
          <w:rFonts w:eastAsia="楷体"/>
          <w:color w:val="000000" w:themeColor="text1"/>
          <w:sz w:val="32"/>
          <w:szCs w:val="30"/>
        </w:rPr>
      </w:pPr>
      <w:r>
        <w:rPr>
          <w:rFonts w:eastAsia="楷体" w:hAnsi="楷体"/>
          <w:color w:val="000000" w:themeColor="text1"/>
          <w:sz w:val="32"/>
          <w:szCs w:val="30"/>
        </w:rPr>
        <w:t>（一）综述资料</w:t>
      </w:r>
    </w:p>
    <w:p w:rsidR="00990962" w:rsidRDefault="00806EEC">
      <w:pPr>
        <w:ind w:firstLineChars="200" w:firstLine="640"/>
        <w:rPr>
          <w:rFonts w:eastAsia="仿宋" w:hAnsi="仿宋"/>
          <w:bCs/>
          <w:color w:val="000000" w:themeColor="text1"/>
          <w:sz w:val="32"/>
          <w:szCs w:val="32"/>
        </w:rPr>
      </w:pPr>
      <w:r>
        <w:rPr>
          <w:rFonts w:eastAsia="仿宋" w:hAnsi="仿宋"/>
          <w:bCs/>
          <w:color w:val="000000" w:themeColor="text1"/>
          <w:sz w:val="32"/>
          <w:szCs w:val="32"/>
        </w:rPr>
        <w:t>综述资料主要包括产品预期用途、产品描述、有关生物安全性的说明、研究结果的总结评价以及同类产品上市情况介绍等内容，应符合《体外诊断试剂注册管理办法》和《关于公布体外诊断试剂注册申报资料要求和批准证明文件格式的公告》（国家食品药品监督管理总局公告</w:t>
      </w:r>
      <w:r>
        <w:rPr>
          <w:rFonts w:eastAsia="仿宋"/>
          <w:bCs/>
          <w:color w:val="000000" w:themeColor="text1"/>
          <w:sz w:val="32"/>
          <w:szCs w:val="32"/>
        </w:rPr>
        <w:t>2014</w:t>
      </w:r>
      <w:r>
        <w:rPr>
          <w:rFonts w:eastAsia="仿宋" w:hAnsi="仿宋"/>
          <w:bCs/>
          <w:color w:val="000000" w:themeColor="text1"/>
          <w:sz w:val="32"/>
          <w:szCs w:val="32"/>
        </w:rPr>
        <w:t>年第</w:t>
      </w:r>
      <w:r>
        <w:rPr>
          <w:rFonts w:eastAsia="仿宋"/>
          <w:bCs/>
          <w:color w:val="000000" w:themeColor="text1"/>
          <w:sz w:val="32"/>
          <w:szCs w:val="32"/>
        </w:rPr>
        <w:t>44</w:t>
      </w:r>
      <w:r>
        <w:rPr>
          <w:rFonts w:eastAsia="仿宋" w:hAnsi="仿宋"/>
          <w:bCs/>
          <w:color w:val="000000" w:themeColor="text1"/>
          <w:sz w:val="32"/>
          <w:szCs w:val="32"/>
        </w:rPr>
        <w:t>号）的相关要求。相关描述应至少包含如下内容：</w:t>
      </w:r>
    </w:p>
    <w:p w:rsidR="00990962" w:rsidRPr="004B6ACD" w:rsidRDefault="00806EEC">
      <w:pPr>
        <w:spacing w:line="600" w:lineRule="exact"/>
        <w:ind w:firstLineChars="200" w:firstLine="640"/>
        <w:rPr>
          <w:rFonts w:eastAsia="仿宋" w:hAnsi="仿宋"/>
          <w:bCs/>
          <w:sz w:val="32"/>
          <w:szCs w:val="32"/>
        </w:rPr>
      </w:pPr>
      <w:r>
        <w:rPr>
          <w:rFonts w:eastAsia="仿宋" w:hAnsi="仿宋"/>
          <w:bCs/>
          <w:color w:val="000000" w:themeColor="text1"/>
          <w:sz w:val="32"/>
          <w:szCs w:val="32"/>
        </w:rPr>
        <w:t>1.</w:t>
      </w:r>
      <w:r>
        <w:rPr>
          <w:rFonts w:eastAsia="仿宋" w:hAnsi="仿宋"/>
          <w:bCs/>
          <w:color w:val="000000" w:themeColor="text1"/>
          <w:sz w:val="32"/>
          <w:szCs w:val="32"/>
        </w:rPr>
        <w:t>产品预期用途：描述产品的预期用途，与预期用途相关的临床适应症背景情况，如临床适应症的发生率、易感人群等，</w:t>
      </w:r>
      <w:r w:rsidRPr="004B6ACD">
        <w:rPr>
          <w:rFonts w:eastAsia="仿宋" w:hAnsi="仿宋"/>
          <w:bCs/>
          <w:sz w:val="32"/>
          <w:szCs w:val="32"/>
        </w:rPr>
        <w:t>相关的临床或实验室诊断方法等。</w:t>
      </w:r>
    </w:p>
    <w:p w:rsidR="00990962" w:rsidRDefault="00806EEC">
      <w:pPr>
        <w:spacing w:line="520" w:lineRule="exact"/>
        <w:ind w:firstLineChars="200" w:firstLine="640"/>
        <w:rPr>
          <w:rFonts w:eastAsia="仿宋" w:hAnsi="仿宋"/>
          <w:bCs/>
          <w:color w:val="000000" w:themeColor="text1"/>
          <w:sz w:val="32"/>
          <w:szCs w:val="32"/>
        </w:rPr>
      </w:pPr>
      <w:r>
        <w:rPr>
          <w:rFonts w:eastAsia="仿宋" w:hAnsi="仿宋"/>
          <w:bCs/>
          <w:color w:val="000000" w:themeColor="text1"/>
          <w:sz w:val="32"/>
          <w:szCs w:val="32"/>
        </w:rPr>
        <w:t>与高密度脂蛋白胆固醇测定试剂（盒）预期用途有关的临床背景情况介绍如下：</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高密度脂蛋白胆固醇是高密度脂蛋白分子所携的胆固醇，高密度脂蛋白从细胞膜上摄取胆固醇，经卵磷脂胆固醇酰基转移酶催化而成胆固醇酯，然后再将携带的胆固醇</w:t>
      </w:r>
      <w:proofErr w:type="gramStart"/>
      <w:r>
        <w:rPr>
          <w:rFonts w:eastAsia="仿宋" w:hAnsi="仿宋"/>
          <w:bCs/>
          <w:color w:val="000000" w:themeColor="text1"/>
          <w:sz w:val="32"/>
          <w:szCs w:val="32"/>
        </w:rPr>
        <w:t>酯</w:t>
      </w:r>
      <w:proofErr w:type="gramEnd"/>
      <w:r>
        <w:rPr>
          <w:rFonts w:eastAsia="仿宋" w:hAnsi="仿宋"/>
          <w:bCs/>
          <w:color w:val="000000" w:themeColor="text1"/>
          <w:sz w:val="32"/>
          <w:szCs w:val="32"/>
        </w:rPr>
        <w:t>转移到极低密度脂蛋白和低密度脂蛋白上。高密度脂蛋白胆固醇占人胆固醇总量的</w:t>
      </w:r>
      <w:r>
        <w:rPr>
          <w:rFonts w:eastAsia="仿宋"/>
          <w:bCs/>
          <w:color w:val="000000" w:themeColor="text1"/>
          <w:sz w:val="32"/>
          <w:szCs w:val="32"/>
        </w:rPr>
        <w:t>20%~30%</w:t>
      </w:r>
      <w:r>
        <w:rPr>
          <w:rFonts w:eastAsia="仿宋" w:hAnsi="仿宋"/>
          <w:bCs/>
          <w:color w:val="000000" w:themeColor="text1"/>
          <w:sz w:val="32"/>
          <w:szCs w:val="32"/>
        </w:rPr>
        <w:t>，它主要是由肝脏合成，由载脂蛋白、磷脂、胆固醇和少量脂肪酸组成。</w:t>
      </w:r>
    </w:p>
    <w:p w:rsidR="00990962" w:rsidRDefault="00806EEC">
      <w:pPr>
        <w:spacing w:line="520" w:lineRule="exact"/>
        <w:ind w:firstLineChars="200" w:firstLine="640"/>
        <w:rPr>
          <w:rFonts w:eastAsia="仿宋" w:hAnsi="仿宋"/>
          <w:bCs/>
          <w:color w:val="000000" w:themeColor="text1"/>
          <w:sz w:val="32"/>
          <w:szCs w:val="32"/>
        </w:rPr>
      </w:pPr>
      <w:r>
        <w:rPr>
          <w:rFonts w:eastAsia="仿宋" w:hAnsi="仿宋"/>
          <w:bCs/>
          <w:color w:val="000000" w:themeColor="text1"/>
          <w:sz w:val="32"/>
          <w:szCs w:val="32"/>
        </w:rPr>
        <w:t>高密度脂蛋白胆固醇传统意义上被认为是抗动脉硬化的脂蛋白，冠状动脉的保护因子。其水平与动脉管腔狭窄程度，冠心病发率呈显著负相关。其升高能降低冠心病发生的危险，在总胆固醇中高密度脂蛋白胆固醇占的比例越大，患冠心病危险性越小；</w:t>
      </w:r>
      <w:r>
        <w:rPr>
          <w:rFonts w:eastAsia="仿宋" w:hAnsi="仿宋"/>
          <w:bCs/>
          <w:color w:val="000000" w:themeColor="text1"/>
          <w:sz w:val="32"/>
          <w:szCs w:val="32"/>
        </w:rPr>
        <w:lastRenderedPageBreak/>
        <w:t>而降低则是冠心病的先兆。在估计心血管病的危险因素中，高密度脂蛋白胆固醇降低比总胆固醇和甘油三酯升高更有意义。高密度脂蛋白胆固醇增高可见于原发性高脂蛋白血症（家族性高</w:t>
      </w:r>
      <w:r>
        <w:rPr>
          <w:rFonts w:eastAsia="仿宋"/>
          <w:bCs/>
          <w:color w:val="000000" w:themeColor="text1"/>
          <w:sz w:val="32"/>
          <w:szCs w:val="32"/>
        </w:rPr>
        <w:t>α-</w:t>
      </w:r>
      <w:r>
        <w:rPr>
          <w:rFonts w:eastAsia="仿宋" w:hAnsi="仿宋"/>
          <w:bCs/>
          <w:color w:val="000000" w:themeColor="text1"/>
          <w:sz w:val="32"/>
          <w:szCs w:val="32"/>
        </w:rPr>
        <w:t>脂蛋白血症）。高密度脂蛋白胆固醇降低常见于冠心病、高甘油三酯血症、肝功能损害</w:t>
      </w:r>
      <w:r w:rsidR="0096378D">
        <w:rPr>
          <w:rFonts w:eastAsia="仿宋" w:hAnsi="仿宋" w:hint="eastAsia"/>
          <w:bCs/>
          <w:color w:val="000000" w:themeColor="text1"/>
          <w:sz w:val="32"/>
          <w:szCs w:val="32"/>
        </w:rPr>
        <w:t>、</w:t>
      </w:r>
      <w:r>
        <w:rPr>
          <w:rFonts w:eastAsia="仿宋" w:hAnsi="仿宋"/>
          <w:bCs/>
          <w:color w:val="000000" w:themeColor="text1"/>
          <w:sz w:val="32"/>
          <w:szCs w:val="32"/>
        </w:rPr>
        <w:t>急慢性肝炎、肝硬化等。其降低可作为冠心病的危险指标之一。</w:t>
      </w:r>
    </w:p>
    <w:p w:rsidR="00990962" w:rsidRDefault="00806EEC">
      <w:pPr>
        <w:spacing w:line="600" w:lineRule="exact"/>
        <w:ind w:firstLineChars="200" w:firstLine="640"/>
        <w:rPr>
          <w:rFonts w:eastAsia="仿宋" w:hAnsi="仿宋"/>
          <w:bCs/>
          <w:color w:val="000000" w:themeColor="text1"/>
          <w:sz w:val="32"/>
          <w:szCs w:val="32"/>
        </w:rPr>
      </w:pPr>
      <w:r>
        <w:rPr>
          <w:rFonts w:eastAsia="仿宋" w:hAnsi="仿宋"/>
          <w:bCs/>
          <w:color w:val="000000" w:themeColor="text1"/>
          <w:sz w:val="32"/>
          <w:szCs w:val="32"/>
        </w:rPr>
        <w:t>2.</w:t>
      </w:r>
      <w:r>
        <w:rPr>
          <w:rFonts w:eastAsia="仿宋" w:hAnsi="仿宋"/>
          <w:bCs/>
          <w:color w:val="000000" w:themeColor="text1"/>
          <w:sz w:val="32"/>
          <w:szCs w:val="32"/>
        </w:rPr>
        <w:t>产品描述：包括产品所采用的技术原理，主要原材料的来源及制备方法，主要生产工艺过程及关键控制点，校准品、</w:t>
      </w:r>
      <w:proofErr w:type="gramStart"/>
      <w:r>
        <w:rPr>
          <w:rFonts w:eastAsia="仿宋" w:hAnsi="仿宋"/>
          <w:bCs/>
          <w:color w:val="000000" w:themeColor="text1"/>
          <w:sz w:val="32"/>
          <w:szCs w:val="32"/>
        </w:rPr>
        <w:t>质控品的</w:t>
      </w:r>
      <w:proofErr w:type="gramEnd"/>
      <w:r>
        <w:rPr>
          <w:rFonts w:eastAsia="仿宋" w:hAnsi="仿宋"/>
          <w:bCs/>
          <w:color w:val="000000" w:themeColor="text1"/>
          <w:sz w:val="32"/>
          <w:szCs w:val="32"/>
        </w:rPr>
        <w:t>制备方法以及校准品溯源和</w:t>
      </w:r>
      <w:proofErr w:type="gramStart"/>
      <w:r>
        <w:rPr>
          <w:rFonts w:eastAsia="仿宋" w:hAnsi="仿宋"/>
          <w:bCs/>
          <w:color w:val="000000" w:themeColor="text1"/>
          <w:sz w:val="32"/>
          <w:szCs w:val="32"/>
        </w:rPr>
        <w:t>质控</w:t>
      </w:r>
      <w:proofErr w:type="gramEnd"/>
      <w:r>
        <w:rPr>
          <w:rFonts w:eastAsia="仿宋" w:hAnsi="仿宋"/>
          <w:bCs/>
          <w:color w:val="000000" w:themeColor="text1"/>
          <w:sz w:val="32"/>
          <w:szCs w:val="32"/>
        </w:rPr>
        <w:t>品定值情况。</w:t>
      </w:r>
    </w:p>
    <w:p w:rsidR="00990962" w:rsidRDefault="00806EEC">
      <w:pPr>
        <w:spacing w:line="600" w:lineRule="exact"/>
        <w:ind w:firstLineChars="200" w:firstLine="640"/>
        <w:rPr>
          <w:rFonts w:eastAsia="仿宋" w:hAnsi="仿宋"/>
          <w:bCs/>
          <w:color w:val="000000" w:themeColor="text1"/>
          <w:sz w:val="32"/>
          <w:szCs w:val="32"/>
        </w:rPr>
      </w:pPr>
      <w:r>
        <w:rPr>
          <w:rFonts w:eastAsia="仿宋" w:hAnsi="仿宋"/>
          <w:bCs/>
          <w:color w:val="000000" w:themeColor="text1"/>
          <w:sz w:val="32"/>
          <w:szCs w:val="32"/>
        </w:rPr>
        <w:t>3.</w:t>
      </w:r>
      <w:r>
        <w:rPr>
          <w:rFonts w:eastAsia="仿宋" w:hAnsi="仿宋"/>
          <w:bCs/>
          <w:color w:val="000000" w:themeColor="text1"/>
          <w:sz w:val="32"/>
          <w:szCs w:val="32"/>
        </w:rPr>
        <w:t>有关生物安全性方面的说明：由于体外诊断试剂中的主要原材料可能是由各种动物、病原体、人源的组织和体液等生物材料经处理或添加某些物质制备而成，为保证产品在运输、使用过程中对使用者和环境的安全，研究者应对上述原材料所采用的灭活等试验方法予以说明，并提供相关的证明文件。</w:t>
      </w:r>
    </w:p>
    <w:p w:rsidR="00990962" w:rsidRDefault="00806EEC">
      <w:pPr>
        <w:spacing w:line="600" w:lineRule="exact"/>
        <w:ind w:firstLineChars="200" w:firstLine="640"/>
        <w:rPr>
          <w:rFonts w:eastAsia="仿宋" w:hAnsi="仿宋"/>
          <w:bCs/>
          <w:color w:val="000000" w:themeColor="text1"/>
          <w:sz w:val="32"/>
          <w:szCs w:val="32"/>
        </w:rPr>
      </w:pPr>
      <w:r>
        <w:rPr>
          <w:rFonts w:eastAsia="仿宋" w:hAnsi="仿宋"/>
          <w:bCs/>
          <w:color w:val="000000" w:themeColor="text1"/>
          <w:sz w:val="32"/>
          <w:szCs w:val="32"/>
        </w:rPr>
        <w:t>4.</w:t>
      </w:r>
      <w:r>
        <w:rPr>
          <w:rFonts w:eastAsia="仿宋" w:hAnsi="仿宋"/>
          <w:bCs/>
          <w:color w:val="000000" w:themeColor="text1"/>
          <w:sz w:val="32"/>
          <w:szCs w:val="32"/>
        </w:rPr>
        <w:t>有关产品主要研究结果的总结和评价。</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5.</w:t>
      </w:r>
      <w:r>
        <w:rPr>
          <w:rFonts w:eastAsia="仿宋" w:hAnsi="仿宋"/>
          <w:bCs/>
          <w:color w:val="000000" w:themeColor="text1"/>
          <w:sz w:val="32"/>
          <w:szCs w:val="32"/>
        </w:rPr>
        <w:t>其他：包括同类产品在国内外批准上市的情况。相关产品所采用的技术方法及临床应用情况，申请注册产品与国内外同类产品的异同等。</w:t>
      </w:r>
    </w:p>
    <w:p w:rsidR="00990962" w:rsidRDefault="00806EEC">
      <w:pPr>
        <w:spacing w:line="520" w:lineRule="exact"/>
        <w:ind w:firstLineChars="200" w:firstLine="640"/>
        <w:rPr>
          <w:rFonts w:eastAsia="楷体"/>
          <w:color w:val="000000" w:themeColor="text1"/>
          <w:sz w:val="32"/>
          <w:szCs w:val="30"/>
        </w:rPr>
      </w:pPr>
      <w:r>
        <w:rPr>
          <w:rFonts w:eastAsia="楷体" w:hAnsi="楷体"/>
          <w:color w:val="000000" w:themeColor="text1"/>
          <w:sz w:val="32"/>
          <w:szCs w:val="30"/>
        </w:rPr>
        <w:t>（二）主要原材料研究资料（如需提供）</w:t>
      </w:r>
    </w:p>
    <w:p w:rsidR="00990962" w:rsidRDefault="00806EEC">
      <w:pPr>
        <w:spacing w:line="520" w:lineRule="exact"/>
        <w:ind w:firstLineChars="200" w:firstLine="640"/>
        <w:rPr>
          <w:rFonts w:eastAsia="仿宋"/>
          <w:bCs/>
          <w:color w:val="000000" w:themeColor="text1"/>
          <w:sz w:val="32"/>
          <w:szCs w:val="32"/>
        </w:rPr>
      </w:pPr>
      <w:r>
        <w:rPr>
          <w:rFonts w:eastAsia="仿宋" w:hAnsi="仿宋"/>
          <w:bCs/>
          <w:color w:val="000000" w:themeColor="text1"/>
          <w:sz w:val="32"/>
          <w:szCs w:val="32"/>
        </w:rPr>
        <w:t>主要原材料的选择、制备、质量标准及实验验证研究资料；质控品、校准品的原料选择、制备、定值过程及试验资料；校准品的溯源性文件，包括具体溯源链、实验方法、数据及统计分析等详细资料。</w:t>
      </w:r>
    </w:p>
    <w:p w:rsidR="00990962" w:rsidRDefault="00806EEC">
      <w:pPr>
        <w:spacing w:line="520" w:lineRule="exact"/>
        <w:ind w:firstLineChars="200" w:firstLine="640"/>
        <w:rPr>
          <w:rFonts w:eastAsia="楷体"/>
          <w:color w:val="000000" w:themeColor="text1"/>
          <w:sz w:val="32"/>
          <w:szCs w:val="30"/>
        </w:rPr>
      </w:pPr>
      <w:r>
        <w:rPr>
          <w:rFonts w:eastAsia="楷体" w:hAnsi="楷体"/>
          <w:color w:val="000000" w:themeColor="text1"/>
          <w:sz w:val="32"/>
          <w:szCs w:val="30"/>
        </w:rPr>
        <w:t>（三）主要生产工艺及反应体系的研究资料（如需提供）</w:t>
      </w:r>
    </w:p>
    <w:p w:rsidR="00990962" w:rsidRDefault="00806EEC">
      <w:pPr>
        <w:spacing w:line="520" w:lineRule="exact"/>
        <w:ind w:firstLineChars="200" w:firstLine="640"/>
        <w:rPr>
          <w:rFonts w:eastAsia="仿宋"/>
          <w:bCs/>
          <w:color w:val="000000" w:themeColor="text1"/>
          <w:sz w:val="32"/>
          <w:szCs w:val="32"/>
        </w:rPr>
      </w:pPr>
      <w:r>
        <w:rPr>
          <w:rFonts w:eastAsia="仿宋"/>
          <w:bCs/>
          <w:color w:val="000000" w:themeColor="text1"/>
          <w:sz w:val="32"/>
          <w:szCs w:val="32"/>
        </w:rPr>
        <w:lastRenderedPageBreak/>
        <w:t>1.</w:t>
      </w:r>
      <w:r>
        <w:rPr>
          <w:rFonts w:eastAsia="仿宋" w:hAnsi="仿宋"/>
          <w:bCs/>
          <w:color w:val="000000" w:themeColor="text1"/>
          <w:sz w:val="32"/>
          <w:szCs w:val="32"/>
        </w:rPr>
        <w:t>主要生产工艺介绍，可以图表方式表示；</w:t>
      </w:r>
      <w:r>
        <w:rPr>
          <w:rFonts w:eastAsia="仿宋" w:hAnsi="仿宋" w:hint="eastAsia"/>
          <w:bCs/>
          <w:color w:val="000000" w:themeColor="text1"/>
          <w:sz w:val="32"/>
          <w:szCs w:val="32"/>
        </w:rPr>
        <w:t>简要说明主要生产工艺中每个生产步骤需满足的条件及关键质控环节；</w:t>
      </w:r>
    </w:p>
    <w:p w:rsidR="00990962" w:rsidRDefault="00806EEC">
      <w:pPr>
        <w:spacing w:line="520" w:lineRule="exact"/>
        <w:ind w:firstLineChars="200" w:firstLine="640"/>
        <w:rPr>
          <w:rFonts w:eastAsia="仿宋"/>
          <w:bCs/>
          <w:color w:val="000000" w:themeColor="text1"/>
          <w:sz w:val="32"/>
          <w:szCs w:val="32"/>
        </w:rPr>
      </w:pPr>
      <w:r>
        <w:rPr>
          <w:rFonts w:eastAsia="仿宋"/>
          <w:bCs/>
          <w:color w:val="000000" w:themeColor="text1"/>
          <w:sz w:val="32"/>
          <w:szCs w:val="32"/>
        </w:rPr>
        <w:t>2.</w:t>
      </w:r>
      <w:r>
        <w:rPr>
          <w:rFonts w:eastAsia="仿宋" w:hAnsi="仿宋"/>
          <w:bCs/>
          <w:color w:val="000000" w:themeColor="text1"/>
          <w:sz w:val="32"/>
          <w:szCs w:val="32"/>
        </w:rPr>
        <w:t>反应原理介绍；</w:t>
      </w:r>
    </w:p>
    <w:p w:rsidR="00990962" w:rsidRDefault="00806EEC">
      <w:pPr>
        <w:spacing w:line="520" w:lineRule="exact"/>
        <w:ind w:firstLineChars="200" w:firstLine="640"/>
        <w:rPr>
          <w:rFonts w:eastAsia="仿宋"/>
          <w:bCs/>
          <w:color w:val="000000" w:themeColor="text1"/>
          <w:sz w:val="32"/>
          <w:szCs w:val="32"/>
        </w:rPr>
      </w:pPr>
      <w:r>
        <w:rPr>
          <w:rFonts w:eastAsia="仿宋"/>
          <w:bCs/>
          <w:color w:val="000000" w:themeColor="text1"/>
          <w:sz w:val="32"/>
          <w:szCs w:val="32"/>
        </w:rPr>
        <w:t>3.</w:t>
      </w:r>
      <w:r>
        <w:rPr>
          <w:rFonts w:eastAsia="仿宋" w:hAnsi="仿宋"/>
          <w:bCs/>
          <w:color w:val="000000" w:themeColor="text1"/>
          <w:sz w:val="32"/>
          <w:szCs w:val="32"/>
        </w:rPr>
        <w:t>确定反应所需物质用量（校准品、样本等）的研究资料；</w:t>
      </w:r>
    </w:p>
    <w:p w:rsidR="00990962" w:rsidRDefault="00806EEC">
      <w:pPr>
        <w:spacing w:line="520" w:lineRule="exact"/>
        <w:ind w:firstLineChars="200" w:firstLine="640"/>
        <w:rPr>
          <w:rFonts w:eastAsia="仿宋"/>
          <w:bCs/>
          <w:color w:val="000000" w:themeColor="text1"/>
          <w:sz w:val="32"/>
          <w:szCs w:val="32"/>
        </w:rPr>
      </w:pPr>
      <w:r>
        <w:rPr>
          <w:rFonts w:eastAsia="仿宋"/>
          <w:bCs/>
          <w:color w:val="000000" w:themeColor="text1"/>
          <w:sz w:val="32"/>
          <w:szCs w:val="32"/>
        </w:rPr>
        <w:t>4.</w:t>
      </w:r>
      <w:r>
        <w:rPr>
          <w:rFonts w:eastAsia="仿宋" w:hAnsi="仿宋"/>
          <w:bCs/>
          <w:color w:val="000000" w:themeColor="text1"/>
          <w:sz w:val="32"/>
          <w:szCs w:val="32"/>
        </w:rPr>
        <w:t>确定反应</w:t>
      </w:r>
      <w:proofErr w:type="gramStart"/>
      <w:r>
        <w:rPr>
          <w:rFonts w:eastAsia="仿宋" w:hAnsi="仿宋"/>
          <w:bCs/>
          <w:color w:val="000000" w:themeColor="text1"/>
          <w:sz w:val="32"/>
          <w:szCs w:val="32"/>
        </w:rPr>
        <w:t>最</w:t>
      </w:r>
      <w:proofErr w:type="gramEnd"/>
      <w:r>
        <w:rPr>
          <w:rFonts w:eastAsia="仿宋" w:hAnsi="仿宋"/>
          <w:bCs/>
          <w:color w:val="000000" w:themeColor="text1"/>
          <w:sz w:val="32"/>
          <w:szCs w:val="32"/>
        </w:rPr>
        <w:t>适条件研究；</w:t>
      </w:r>
    </w:p>
    <w:p w:rsidR="00990962" w:rsidRDefault="00806EEC">
      <w:pPr>
        <w:spacing w:line="520" w:lineRule="exact"/>
        <w:ind w:firstLineChars="200" w:firstLine="640"/>
        <w:rPr>
          <w:rFonts w:eastAsia="仿宋"/>
          <w:bCs/>
          <w:color w:val="000000" w:themeColor="text1"/>
          <w:sz w:val="32"/>
          <w:szCs w:val="32"/>
        </w:rPr>
      </w:pPr>
      <w:r>
        <w:rPr>
          <w:rFonts w:eastAsia="仿宋"/>
          <w:bCs/>
          <w:color w:val="000000" w:themeColor="text1"/>
          <w:sz w:val="32"/>
          <w:szCs w:val="32"/>
        </w:rPr>
        <w:t>5.</w:t>
      </w:r>
      <w:r>
        <w:rPr>
          <w:rFonts w:eastAsia="仿宋" w:hAnsi="仿宋"/>
          <w:bCs/>
          <w:color w:val="000000" w:themeColor="text1"/>
          <w:sz w:val="32"/>
          <w:szCs w:val="32"/>
        </w:rPr>
        <w:t>其他：如基质效应</w:t>
      </w:r>
      <w:r>
        <w:rPr>
          <w:rFonts w:ascii="宋体" w:hAnsi="宋体" w:hint="eastAsia"/>
          <w:bCs/>
          <w:color w:val="000000" w:themeColor="text1"/>
          <w:sz w:val="32"/>
          <w:szCs w:val="32"/>
        </w:rPr>
        <w:t>、</w:t>
      </w:r>
      <w:r>
        <w:rPr>
          <w:rFonts w:ascii="仿宋" w:eastAsia="仿宋" w:hAnsi="仿宋" w:hint="eastAsia"/>
          <w:bCs/>
          <w:color w:val="000000" w:themeColor="text1"/>
          <w:sz w:val="32"/>
          <w:szCs w:val="32"/>
        </w:rPr>
        <w:t>样本稀释倍数</w:t>
      </w:r>
      <w:r>
        <w:rPr>
          <w:rFonts w:eastAsia="仿宋" w:hAnsi="仿宋"/>
          <w:bCs/>
          <w:color w:val="000000" w:themeColor="text1"/>
          <w:sz w:val="32"/>
          <w:szCs w:val="32"/>
        </w:rPr>
        <w:t>等。</w:t>
      </w:r>
    </w:p>
    <w:p w:rsidR="00990962" w:rsidRDefault="00806EEC">
      <w:pPr>
        <w:spacing w:line="520" w:lineRule="exact"/>
        <w:ind w:firstLineChars="200" w:firstLine="640"/>
        <w:rPr>
          <w:rFonts w:eastAsia="楷体"/>
          <w:color w:val="000000" w:themeColor="text1"/>
          <w:sz w:val="32"/>
          <w:szCs w:val="30"/>
        </w:rPr>
      </w:pPr>
      <w:r>
        <w:rPr>
          <w:rFonts w:eastAsia="楷体" w:hAnsi="楷体"/>
          <w:color w:val="000000" w:themeColor="text1"/>
          <w:sz w:val="32"/>
          <w:szCs w:val="30"/>
        </w:rPr>
        <w:t>（四）分析性能评估资料</w:t>
      </w:r>
    </w:p>
    <w:p w:rsidR="00990962" w:rsidRDefault="00806EEC">
      <w:pPr>
        <w:spacing w:line="520" w:lineRule="exact"/>
        <w:ind w:firstLineChars="200" w:firstLine="640"/>
        <w:rPr>
          <w:rFonts w:eastAsia="仿宋" w:hAnsi="仿宋"/>
          <w:color w:val="000000" w:themeColor="text1"/>
          <w:sz w:val="32"/>
          <w:szCs w:val="30"/>
        </w:rPr>
      </w:pPr>
      <w:r>
        <w:rPr>
          <w:rFonts w:ascii="仿宋" w:eastAsia="仿宋" w:hAnsi="仿宋" w:hint="eastAsia"/>
          <w:color w:val="000000" w:themeColor="text1"/>
          <w:sz w:val="32"/>
          <w:szCs w:val="32"/>
        </w:rPr>
        <w:t>分析性能评估资料是对产品研制过程的总结，</w:t>
      </w:r>
      <w:r>
        <w:rPr>
          <w:rFonts w:eastAsia="仿宋" w:hAnsi="仿宋"/>
          <w:color w:val="000000" w:themeColor="text1"/>
          <w:sz w:val="32"/>
          <w:szCs w:val="30"/>
        </w:rPr>
        <w:t>应提交在产品研制阶段对试剂盒进行的所有性能验证的研究资料，包括具体研究方法、试验数据、统计方法等详细资料。</w:t>
      </w:r>
    </w:p>
    <w:p w:rsidR="00990962" w:rsidRDefault="00806EEC">
      <w:pPr>
        <w:spacing w:line="520" w:lineRule="exact"/>
        <w:ind w:firstLineChars="200" w:firstLine="640"/>
        <w:rPr>
          <w:rFonts w:eastAsia="仿宋" w:hAnsi="仿宋"/>
          <w:color w:val="000000" w:themeColor="text1"/>
          <w:sz w:val="32"/>
          <w:szCs w:val="30"/>
        </w:rPr>
      </w:pPr>
      <w:r>
        <w:rPr>
          <w:rFonts w:eastAsia="仿宋" w:hAnsi="仿宋"/>
          <w:color w:val="000000" w:themeColor="text1"/>
          <w:sz w:val="32"/>
          <w:szCs w:val="30"/>
        </w:rPr>
        <w:t>性能评估应至少包括准确度、精密度、线性范围、分析特异性（抗干扰能力）、其他影响检测的因素等。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w:t>
      </w:r>
      <w:r>
        <w:rPr>
          <w:rFonts w:eastAsia="仿宋" w:hAnsi="仿宋"/>
          <w:color w:val="000000" w:themeColor="text1"/>
          <w:sz w:val="32"/>
          <w:szCs w:val="30"/>
        </w:rPr>
        <w:t>准确度</w:t>
      </w:r>
    </w:p>
    <w:p w:rsidR="00990962" w:rsidRDefault="00806EEC">
      <w:pPr>
        <w:pStyle w:val="1"/>
        <w:kinsoku w:val="0"/>
        <w:overflowPunct w:val="0"/>
        <w:spacing w:line="520" w:lineRule="exact"/>
        <w:ind w:firstLine="640"/>
        <w:textAlignment w:val="baseline"/>
        <w:rPr>
          <w:rFonts w:ascii="Times New Roman" w:eastAsia="仿宋" w:hAnsi="Times New Roman" w:cs="Times New Roman"/>
          <w:color w:val="000000" w:themeColor="text1"/>
          <w:sz w:val="32"/>
          <w:szCs w:val="30"/>
        </w:rPr>
      </w:pPr>
      <w:r>
        <w:rPr>
          <w:rFonts w:ascii="Times New Roman" w:eastAsia="仿宋" w:hAnsi="仿宋" w:cs="Times New Roman"/>
          <w:color w:val="000000" w:themeColor="text1"/>
          <w:sz w:val="32"/>
          <w:szCs w:val="30"/>
        </w:rPr>
        <w:t>企业可按照</w:t>
      </w:r>
      <w:r>
        <w:rPr>
          <w:rFonts w:ascii="Times New Roman" w:eastAsia="仿宋" w:hAnsi="仿宋" w:cs="Times New Roman" w:hint="eastAsia"/>
          <w:color w:val="000000" w:themeColor="text1"/>
          <w:sz w:val="32"/>
          <w:szCs w:val="30"/>
        </w:rPr>
        <w:t>实际情况采用下列方法</w:t>
      </w:r>
      <w:r>
        <w:rPr>
          <w:rFonts w:ascii="Times New Roman" w:eastAsia="仿宋" w:hAnsi="仿宋" w:cs="Times New Roman"/>
          <w:color w:val="000000" w:themeColor="text1"/>
          <w:sz w:val="32"/>
          <w:szCs w:val="30"/>
        </w:rPr>
        <w:t>对测量准确度进行评价。</w:t>
      </w:r>
    </w:p>
    <w:p w:rsidR="00990962" w:rsidRDefault="00806EEC">
      <w:pPr>
        <w:pStyle w:val="1"/>
        <w:kinsoku w:val="0"/>
        <w:overflowPunct w:val="0"/>
        <w:spacing w:line="520" w:lineRule="exact"/>
        <w:ind w:firstLine="640"/>
        <w:textAlignment w:val="baseline"/>
        <w:rPr>
          <w:rFonts w:ascii="Times New Roman" w:eastAsia="仿宋" w:hAnsi="Times New Roman" w:cs="Times New Roman"/>
          <w:color w:val="000000" w:themeColor="text1"/>
          <w:sz w:val="32"/>
          <w:szCs w:val="30"/>
        </w:rPr>
      </w:pPr>
      <w:r>
        <w:rPr>
          <w:rFonts w:ascii="Times New Roman" w:eastAsia="仿宋" w:hAnsi="仿宋" w:cs="Times New Roman"/>
          <w:color w:val="000000" w:themeColor="text1"/>
          <w:sz w:val="32"/>
          <w:szCs w:val="30"/>
        </w:rPr>
        <w:t>（</w:t>
      </w:r>
      <w:r>
        <w:rPr>
          <w:rFonts w:ascii="Times New Roman" w:eastAsia="仿宋" w:hAnsi="Times New Roman" w:cs="Times New Roman"/>
          <w:color w:val="000000" w:themeColor="text1"/>
          <w:sz w:val="32"/>
          <w:szCs w:val="30"/>
        </w:rPr>
        <w:t>1</w:t>
      </w:r>
      <w:r>
        <w:rPr>
          <w:rFonts w:ascii="Times New Roman" w:eastAsia="仿宋" w:hAnsi="仿宋" w:cs="Times New Roman"/>
          <w:color w:val="000000" w:themeColor="text1"/>
          <w:sz w:val="32"/>
          <w:szCs w:val="30"/>
        </w:rPr>
        <w:t>）相对偏差</w:t>
      </w:r>
    </w:p>
    <w:p w:rsidR="00990962" w:rsidRDefault="00806EEC">
      <w:pPr>
        <w:pStyle w:val="1"/>
        <w:kinsoku w:val="0"/>
        <w:overflowPunct w:val="0"/>
        <w:spacing w:line="520" w:lineRule="exact"/>
        <w:ind w:firstLine="640"/>
        <w:textAlignment w:val="baseline"/>
        <w:rPr>
          <w:rFonts w:ascii="Times New Roman" w:eastAsia="仿宋" w:hAnsi="Times New Roman" w:cs="Times New Roman"/>
          <w:color w:val="000000" w:themeColor="text1"/>
          <w:sz w:val="32"/>
          <w:szCs w:val="30"/>
        </w:rPr>
      </w:pPr>
      <w:r>
        <w:rPr>
          <w:rFonts w:ascii="Times New Roman" w:eastAsia="仿宋" w:hAnsi="仿宋" w:cs="Times New Roman"/>
          <w:color w:val="000000" w:themeColor="text1"/>
          <w:sz w:val="32"/>
          <w:szCs w:val="30"/>
        </w:rPr>
        <w:t>用可用于评价常规方法的参考物质或有证参考物质对试剂（盒）进行测试，计算相对偏差。</w:t>
      </w:r>
    </w:p>
    <w:p w:rsidR="00990962" w:rsidRDefault="00806EEC">
      <w:pPr>
        <w:pStyle w:val="1"/>
        <w:kinsoku w:val="0"/>
        <w:overflowPunct w:val="0"/>
        <w:spacing w:line="520" w:lineRule="exact"/>
        <w:ind w:firstLine="640"/>
        <w:textAlignment w:val="baseline"/>
        <w:rPr>
          <w:rFonts w:ascii="Times New Roman" w:eastAsia="仿宋" w:hAnsi="Times New Roman" w:cs="Times New Roman"/>
          <w:color w:val="000000" w:themeColor="text1"/>
          <w:sz w:val="32"/>
          <w:szCs w:val="30"/>
        </w:rPr>
      </w:pPr>
      <w:r>
        <w:rPr>
          <w:rFonts w:ascii="Times New Roman" w:eastAsia="仿宋" w:hAnsi="仿宋" w:cs="Times New Roman"/>
          <w:color w:val="000000" w:themeColor="text1"/>
          <w:sz w:val="32"/>
          <w:szCs w:val="30"/>
        </w:rPr>
        <w:t>若有国家标准品、参考品发布，则优先采用国家标准品、参考品进行测试的偏差结果</w:t>
      </w:r>
      <w:r>
        <w:rPr>
          <w:rFonts w:hint="eastAsia"/>
          <w:color w:val="000000" w:themeColor="text1"/>
          <w:sz w:val="32"/>
          <w:szCs w:val="30"/>
        </w:rPr>
        <w:t>。</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）方法学比对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可采用普遍认为质量较好的已上市同类试剂作为参比方法，与拟申报试剂同时检测一批临床样</w:t>
      </w:r>
      <w:r>
        <w:rPr>
          <w:rFonts w:eastAsia="仿宋" w:hAnsi="仿宋" w:hint="eastAsia"/>
          <w:color w:val="000000" w:themeColor="text1"/>
          <w:sz w:val="32"/>
          <w:szCs w:val="30"/>
        </w:rPr>
        <w:t>本</w:t>
      </w:r>
      <w:r>
        <w:rPr>
          <w:rFonts w:eastAsia="仿宋" w:hAnsi="仿宋"/>
          <w:color w:val="000000" w:themeColor="text1"/>
          <w:sz w:val="32"/>
          <w:szCs w:val="30"/>
        </w:rPr>
        <w:t>，从测定结果间的差异了解拟申报试剂与参比方法间的偏倚。如偏倚很小或在允许的误差范围内，说明两检测系统对病人标本测定结果基本相符，拟申报试剂与参比方法对同一份临床样本的医学解释不会产生差异结果。</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lastRenderedPageBreak/>
        <w:t>在实施方法学比对前，应分别对拟申报试剂和</w:t>
      </w:r>
      <w:proofErr w:type="gramStart"/>
      <w:r>
        <w:rPr>
          <w:rFonts w:eastAsia="仿宋" w:hAnsi="仿宋"/>
          <w:color w:val="000000" w:themeColor="text1"/>
          <w:sz w:val="32"/>
          <w:szCs w:val="30"/>
        </w:rPr>
        <w:t>参比</w:t>
      </w:r>
      <w:proofErr w:type="gramEnd"/>
      <w:r>
        <w:rPr>
          <w:rFonts w:eastAsia="仿宋" w:hAnsi="仿宋"/>
          <w:color w:val="000000" w:themeColor="text1"/>
          <w:sz w:val="32"/>
          <w:szCs w:val="30"/>
        </w:rPr>
        <w:t>试剂进行初步评估，只有在确认两者都分别符合各自相关的质量标准后方可进行比对试验。方法学比对时应注意质量控制、样本类型、浓度分布范围并对结果进行合理的统计学分析。</w:t>
      </w:r>
    </w:p>
    <w:p w:rsidR="00990962" w:rsidRDefault="00806EEC">
      <w:pPr>
        <w:tabs>
          <w:tab w:val="left" w:pos="709"/>
          <w:tab w:val="left" w:pos="851"/>
        </w:tabs>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3</w:t>
      </w:r>
      <w:r>
        <w:rPr>
          <w:rFonts w:eastAsia="仿宋" w:hAnsi="仿宋"/>
          <w:color w:val="000000" w:themeColor="text1"/>
          <w:sz w:val="32"/>
          <w:szCs w:val="30"/>
        </w:rPr>
        <w:t>）回收试验</w:t>
      </w:r>
    </w:p>
    <w:p w:rsidR="00990962" w:rsidRDefault="00806EEC">
      <w:pPr>
        <w:tabs>
          <w:tab w:val="left" w:pos="709"/>
          <w:tab w:val="left" w:pos="851"/>
        </w:tabs>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在人源样品中加入一定体积标准溶液（标准溶液体积和人源样品体积比应不会产生基质的变化，加入标准溶液后样品总浓度必须在试剂检测线性范围内）或纯品，进行检测并计算回收率。</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2.</w:t>
      </w:r>
      <w:r>
        <w:rPr>
          <w:rFonts w:eastAsia="仿宋" w:hAnsi="仿宋"/>
          <w:color w:val="000000" w:themeColor="text1"/>
          <w:sz w:val="32"/>
          <w:szCs w:val="30"/>
        </w:rPr>
        <w:t>空白吸光度</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用空白样品（纯水、生理盐水或零校准液）在</w:t>
      </w:r>
      <w:r>
        <w:rPr>
          <w:rFonts w:eastAsia="仿宋"/>
          <w:color w:val="000000" w:themeColor="text1"/>
          <w:sz w:val="32"/>
          <w:szCs w:val="30"/>
        </w:rPr>
        <w:t>37</w:t>
      </w:r>
      <w:r>
        <w:rPr>
          <w:rFonts w:eastAsia="仿宋" w:hAnsi="仿宋"/>
          <w:color w:val="000000" w:themeColor="text1"/>
          <w:sz w:val="32"/>
          <w:szCs w:val="30"/>
        </w:rPr>
        <w:t>℃、测试主波长、</w:t>
      </w:r>
      <w:r>
        <w:rPr>
          <w:rFonts w:eastAsia="仿宋"/>
          <w:color w:val="000000" w:themeColor="text1"/>
          <w:sz w:val="32"/>
          <w:szCs w:val="30"/>
        </w:rPr>
        <w:t>1cm</w:t>
      </w:r>
      <w:proofErr w:type="gramStart"/>
      <w:r>
        <w:rPr>
          <w:rFonts w:eastAsia="仿宋" w:hAnsi="仿宋"/>
          <w:color w:val="000000" w:themeColor="text1"/>
          <w:sz w:val="32"/>
          <w:szCs w:val="30"/>
        </w:rPr>
        <w:t>光径条件</w:t>
      </w:r>
      <w:proofErr w:type="gramEnd"/>
      <w:r>
        <w:rPr>
          <w:rFonts w:eastAsia="仿宋" w:hAnsi="仿宋"/>
          <w:color w:val="000000" w:themeColor="text1"/>
          <w:sz w:val="32"/>
          <w:szCs w:val="30"/>
        </w:rPr>
        <w:t>下，测试试剂（盒），测试</w:t>
      </w:r>
      <w:r w:rsidR="00A22CC3">
        <w:rPr>
          <w:rFonts w:eastAsia="仿宋" w:hAnsi="仿宋" w:hint="eastAsia"/>
          <w:color w:val="000000" w:themeColor="text1"/>
          <w:sz w:val="32"/>
          <w:szCs w:val="30"/>
        </w:rPr>
        <w:t>所得吸光度</w:t>
      </w:r>
      <w:r>
        <w:rPr>
          <w:rFonts w:eastAsia="仿宋" w:hAnsi="仿宋"/>
          <w:color w:val="000000" w:themeColor="text1"/>
          <w:sz w:val="32"/>
          <w:szCs w:val="30"/>
        </w:rPr>
        <w:t>即为试剂空白吸光度测定值。</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3.</w:t>
      </w:r>
      <w:proofErr w:type="gramStart"/>
      <w:r>
        <w:rPr>
          <w:rFonts w:eastAsia="仿宋" w:hAnsi="仿宋"/>
          <w:color w:val="000000" w:themeColor="text1"/>
          <w:sz w:val="32"/>
          <w:szCs w:val="32"/>
        </w:rPr>
        <w:t>批内重复性</w:t>
      </w:r>
      <w:proofErr w:type="gramEnd"/>
    </w:p>
    <w:p w:rsidR="00990962" w:rsidRDefault="00806EEC">
      <w:pPr>
        <w:spacing w:line="520" w:lineRule="exact"/>
        <w:ind w:firstLineChars="200" w:firstLine="640"/>
        <w:rPr>
          <w:rFonts w:eastAsia="仿宋" w:hAnsi="仿宋"/>
          <w:color w:val="000000" w:themeColor="text1"/>
          <w:sz w:val="32"/>
          <w:szCs w:val="30"/>
        </w:rPr>
      </w:pPr>
      <w:r>
        <w:rPr>
          <w:rFonts w:eastAsia="仿宋" w:hAnsi="仿宋"/>
          <w:color w:val="000000" w:themeColor="text1"/>
          <w:sz w:val="32"/>
          <w:szCs w:val="30"/>
        </w:rPr>
        <w:t>测量精密度的评估应包括至少两个浓度水平的样本进行，建议</w:t>
      </w:r>
      <w:r>
        <w:rPr>
          <w:rFonts w:eastAsia="仿宋" w:hAnsi="仿宋" w:hint="eastAsia"/>
          <w:color w:val="000000" w:themeColor="text1"/>
          <w:sz w:val="32"/>
          <w:szCs w:val="30"/>
        </w:rPr>
        <w:t>采用</w:t>
      </w:r>
      <w:r>
        <w:rPr>
          <w:rFonts w:eastAsia="仿宋" w:hAnsi="仿宋"/>
          <w:color w:val="000000" w:themeColor="text1"/>
          <w:sz w:val="32"/>
          <w:szCs w:val="30"/>
        </w:rPr>
        <w:t>浓度为</w:t>
      </w:r>
      <w:r>
        <w:rPr>
          <w:rFonts w:eastAsia="仿宋" w:hAnsi="仿宋"/>
          <w:color w:val="000000" w:themeColor="text1"/>
          <w:sz w:val="32"/>
          <w:szCs w:val="30"/>
        </w:rPr>
        <w:t>(0.80</w:t>
      </w:r>
      <w:r>
        <w:rPr>
          <w:rFonts w:eastAsia="仿宋" w:hAnsi="仿宋"/>
          <w:color w:val="000000" w:themeColor="text1"/>
          <w:sz w:val="32"/>
          <w:szCs w:val="30"/>
        </w:rPr>
        <w:t>±</w:t>
      </w:r>
      <w:r>
        <w:rPr>
          <w:rFonts w:eastAsia="仿宋" w:hAnsi="仿宋"/>
          <w:color w:val="000000" w:themeColor="text1"/>
          <w:sz w:val="32"/>
          <w:szCs w:val="30"/>
        </w:rPr>
        <w:t>0.20)</w:t>
      </w:r>
      <w:proofErr w:type="spellStart"/>
      <w:r>
        <w:rPr>
          <w:rFonts w:eastAsia="仿宋" w:hAnsi="仿宋"/>
          <w:color w:val="000000" w:themeColor="text1"/>
          <w:sz w:val="32"/>
          <w:szCs w:val="30"/>
        </w:rPr>
        <w:t>mmol</w:t>
      </w:r>
      <w:proofErr w:type="spellEnd"/>
      <w:r>
        <w:rPr>
          <w:rFonts w:eastAsia="仿宋" w:hAnsi="仿宋"/>
          <w:color w:val="000000" w:themeColor="text1"/>
          <w:sz w:val="32"/>
          <w:szCs w:val="30"/>
        </w:rPr>
        <w:t>/L</w:t>
      </w:r>
      <w:r>
        <w:rPr>
          <w:rFonts w:eastAsia="仿宋" w:hAnsi="仿宋"/>
          <w:color w:val="000000" w:themeColor="text1"/>
          <w:sz w:val="32"/>
          <w:szCs w:val="30"/>
        </w:rPr>
        <w:t>和</w:t>
      </w:r>
      <w:r>
        <w:rPr>
          <w:rFonts w:eastAsia="仿宋" w:hAnsi="仿宋"/>
          <w:color w:val="000000" w:themeColor="text1"/>
          <w:sz w:val="32"/>
          <w:szCs w:val="30"/>
        </w:rPr>
        <w:t>(1.50</w:t>
      </w:r>
      <w:r>
        <w:rPr>
          <w:rFonts w:eastAsia="仿宋" w:hAnsi="仿宋"/>
          <w:color w:val="000000" w:themeColor="text1"/>
          <w:sz w:val="32"/>
          <w:szCs w:val="30"/>
        </w:rPr>
        <w:t>±</w:t>
      </w:r>
      <w:r>
        <w:rPr>
          <w:rFonts w:eastAsia="仿宋" w:hAnsi="仿宋"/>
          <w:color w:val="000000" w:themeColor="text1"/>
          <w:sz w:val="32"/>
          <w:szCs w:val="30"/>
        </w:rPr>
        <w:t>0.50)</w:t>
      </w:r>
      <w:proofErr w:type="spellStart"/>
      <w:r>
        <w:rPr>
          <w:rFonts w:eastAsia="仿宋" w:hAnsi="仿宋"/>
          <w:color w:val="000000" w:themeColor="text1"/>
          <w:sz w:val="32"/>
          <w:szCs w:val="30"/>
        </w:rPr>
        <w:t>mmol</w:t>
      </w:r>
      <w:proofErr w:type="spellEnd"/>
      <w:r>
        <w:rPr>
          <w:rFonts w:eastAsia="仿宋" w:hAnsi="仿宋"/>
          <w:color w:val="000000" w:themeColor="text1"/>
          <w:sz w:val="32"/>
          <w:szCs w:val="30"/>
        </w:rPr>
        <w:t>/L</w:t>
      </w:r>
      <w:r>
        <w:rPr>
          <w:rFonts w:eastAsia="仿宋" w:hAnsi="仿宋" w:hint="eastAsia"/>
          <w:color w:val="000000" w:themeColor="text1"/>
          <w:sz w:val="32"/>
          <w:szCs w:val="30"/>
        </w:rPr>
        <w:t>的样本</w:t>
      </w:r>
      <w:r>
        <w:rPr>
          <w:rFonts w:eastAsia="仿宋" w:hAnsi="仿宋"/>
          <w:color w:val="000000" w:themeColor="text1"/>
          <w:sz w:val="32"/>
          <w:szCs w:val="30"/>
        </w:rPr>
        <w:t>，两个浓度都应在试剂的测量范围内，且有一定的临床意义，通常选用该检测指标的正常参考值附近</w:t>
      </w:r>
      <w:r>
        <w:rPr>
          <w:rFonts w:eastAsia="仿宋" w:hAnsi="仿宋" w:hint="eastAsia"/>
          <w:color w:val="000000" w:themeColor="text1"/>
          <w:sz w:val="32"/>
          <w:szCs w:val="30"/>
        </w:rPr>
        <w:t>样本和病理</w:t>
      </w:r>
      <w:r>
        <w:rPr>
          <w:rFonts w:eastAsia="仿宋" w:hAnsi="仿宋"/>
          <w:color w:val="000000" w:themeColor="text1"/>
          <w:sz w:val="32"/>
          <w:szCs w:val="30"/>
        </w:rPr>
        <w:t>高值样本。</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4.</w:t>
      </w:r>
      <w:r>
        <w:rPr>
          <w:rFonts w:eastAsia="仿宋" w:hAnsi="仿宋"/>
          <w:color w:val="000000" w:themeColor="text1"/>
          <w:sz w:val="32"/>
          <w:szCs w:val="32"/>
        </w:rPr>
        <w:t>线性范围</w:t>
      </w:r>
    </w:p>
    <w:p w:rsidR="00990962" w:rsidRDefault="00806EEC">
      <w:pPr>
        <w:spacing w:line="520" w:lineRule="exact"/>
        <w:ind w:firstLineChars="200" w:firstLine="640"/>
        <w:rPr>
          <w:rFonts w:ascii="宋体" w:hAnsi="宋体"/>
          <w:color w:val="000000" w:themeColor="text1"/>
          <w:sz w:val="32"/>
          <w:szCs w:val="32"/>
        </w:rPr>
      </w:pPr>
      <w:r>
        <w:rPr>
          <w:rFonts w:eastAsia="仿宋" w:hAnsi="仿宋"/>
          <w:color w:val="000000" w:themeColor="text1"/>
          <w:sz w:val="32"/>
          <w:szCs w:val="32"/>
        </w:rPr>
        <w:t>建立试剂线性范围所用的样本基质应尽可能与临床实际检测的样本相似，理想的样本为分析物浓度达到预期测定上限的混合人血清，制备低浓度样本时应充分考虑稀释对样本基质的影响。超出线性范围的样本如需稀释后测定，应作相关研究，明确稀释</w:t>
      </w:r>
      <w:proofErr w:type="gramStart"/>
      <w:r>
        <w:rPr>
          <w:rFonts w:eastAsia="仿宋" w:hAnsi="仿宋"/>
          <w:color w:val="000000" w:themeColor="text1"/>
          <w:sz w:val="32"/>
          <w:szCs w:val="32"/>
        </w:rPr>
        <w:t>液类型</w:t>
      </w:r>
      <w:proofErr w:type="gramEnd"/>
      <w:r>
        <w:rPr>
          <w:rFonts w:eastAsia="仿宋" w:hAnsi="仿宋"/>
          <w:color w:val="000000" w:themeColor="text1"/>
          <w:sz w:val="32"/>
          <w:szCs w:val="32"/>
        </w:rPr>
        <w:t>及最大可稀释倍数，研究过程应注意基质效应影响，必要时应提供基质效应研究有关的资料。</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5.</w:t>
      </w:r>
      <w:r>
        <w:rPr>
          <w:rFonts w:eastAsia="仿宋" w:hAnsi="仿宋"/>
          <w:color w:val="000000" w:themeColor="text1"/>
          <w:sz w:val="32"/>
          <w:szCs w:val="32"/>
        </w:rPr>
        <w:t>分析灵敏度</w:t>
      </w:r>
    </w:p>
    <w:p w:rsidR="00990962" w:rsidRDefault="00806EEC">
      <w:pPr>
        <w:spacing w:line="520" w:lineRule="exact"/>
        <w:ind w:firstLineChars="200" w:firstLine="640"/>
        <w:rPr>
          <w:rFonts w:ascii="宋体" w:hAnsi="宋体"/>
          <w:color w:val="000000" w:themeColor="text1"/>
          <w:sz w:val="32"/>
          <w:szCs w:val="32"/>
        </w:rPr>
      </w:pPr>
      <w:r>
        <w:rPr>
          <w:rFonts w:eastAsia="仿宋" w:hAnsi="仿宋"/>
          <w:color w:val="000000" w:themeColor="text1"/>
          <w:sz w:val="32"/>
          <w:szCs w:val="32"/>
        </w:rPr>
        <w:lastRenderedPageBreak/>
        <w:t>用已知浓度在</w:t>
      </w:r>
      <w:r>
        <w:rPr>
          <w:rFonts w:eastAsia="仿宋"/>
          <w:color w:val="000000" w:themeColor="text1"/>
          <w:sz w:val="32"/>
          <w:szCs w:val="32"/>
        </w:rPr>
        <w:t>1.00mmol/L~2.00mmol/L</w:t>
      </w:r>
      <w:r>
        <w:rPr>
          <w:rFonts w:eastAsia="仿宋" w:hAnsi="仿宋"/>
          <w:color w:val="000000" w:themeColor="text1"/>
          <w:sz w:val="32"/>
          <w:szCs w:val="32"/>
        </w:rPr>
        <w:t>的样</w:t>
      </w:r>
      <w:r>
        <w:rPr>
          <w:rFonts w:eastAsia="仿宋" w:hAnsi="仿宋" w:hint="eastAsia"/>
          <w:color w:val="000000" w:themeColor="text1"/>
          <w:sz w:val="32"/>
          <w:szCs w:val="32"/>
        </w:rPr>
        <w:t>本</w:t>
      </w:r>
      <w:r>
        <w:rPr>
          <w:rFonts w:eastAsia="仿宋" w:hAnsi="仿宋"/>
          <w:color w:val="000000" w:themeColor="text1"/>
          <w:sz w:val="32"/>
          <w:szCs w:val="32"/>
        </w:rPr>
        <w:t>测试试剂（盒），记录在试剂（盒）规定参数下的吸光度差值。</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6.</w:t>
      </w:r>
      <w:proofErr w:type="gramStart"/>
      <w:r>
        <w:rPr>
          <w:rFonts w:eastAsia="仿宋" w:hAnsi="仿宋"/>
          <w:color w:val="000000" w:themeColor="text1"/>
          <w:sz w:val="32"/>
          <w:szCs w:val="32"/>
        </w:rPr>
        <w:t>批间差</w:t>
      </w:r>
      <w:proofErr w:type="gramEnd"/>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用（</w:t>
      </w:r>
      <w:r>
        <w:rPr>
          <w:rFonts w:eastAsia="仿宋"/>
          <w:color w:val="000000" w:themeColor="text1"/>
          <w:sz w:val="32"/>
          <w:szCs w:val="32"/>
        </w:rPr>
        <w:t>1.50±0.50</w:t>
      </w:r>
      <w:r>
        <w:rPr>
          <w:rFonts w:eastAsia="仿宋" w:hAnsi="仿宋"/>
          <w:color w:val="000000" w:themeColor="text1"/>
          <w:sz w:val="32"/>
          <w:szCs w:val="32"/>
        </w:rPr>
        <w:t>）</w:t>
      </w:r>
      <w:proofErr w:type="spellStart"/>
      <w:r>
        <w:rPr>
          <w:rFonts w:eastAsia="仿宋"/>
          <w:color w:val="000000" w:themeColor="text1"/>
          <w:sz w:val="32"/>
          <w:szCs w:val="32"/>
        </w:rPr>
        <w:t>mmol</w:t>
      </w:r>
      <w:proofErr w:type="spellEnd"/>
      <w:r>
        <w:rPr>
          <w:rFonts w:eastAsia="仿宋"/>
          <w:color w:val="000000" w:themeColor="text1"/>
          <w:sz w:val="32"/>
          <w:szCs w:val="32"/>
        </w:rPr>
        <w:t>/L</w:t>
      </w:r>
      <w:r>
        <w:rPr>
          <w:rFonts w:eastAsia="仿宋" w:hAnsi="仿宋"/>
          <w:color w:val="000000" w:themeColor="text1"/>
          <w:sz w:val="32"/>
          <w:szCs w:val="32"/>
        </w:rPr>
        <w:t>的样</w:t>
      </w:r>
      <w:r>
        <w:rPr>
          <w:rFonts w:eastAsia="仿宋" w:hAnsi="仿宋" w:hint="eastAsia"/>
          <w:color w:val="000000" w:themeColor="text1"/>
          <w:sz w:val="32"/>
          <w:szCs w:val="32"/>
        </w:rPr>
        <w:t>本</w:t>
      </w:r>
      <w:r>
        <w:rPr>
          <w:rFonts w:eastAsia="仿宋" w:hAnsi="仿宋"/>
          <w:color w:val="000000" w:themeColor="text1"/>
          <w:sz w:val="32"/>
          <w:szCs w:val="32"/>
        </w:rPr>
        <w:t>测试</w:t>
      </w:r>
      <w:r>
        <w:rPr>
          <w:rFonts w:eastAsia="仿宋"/>
          <w:color w:val="000000" w:themeColor="text1"/>
          <w:sz w:val="32"/>
          <w:szCs w:val="32"/>
        </w:rPr>
        <w:t>3</w:t>
      </w:r>
      <w:r>
        <w:rPr>
          <w:rFonts w:eastAsia="仿宋" w:hAnsi="仿宋"/>
          <w:color w:val="000000" w:themeColor="text1"/>
          <w:sz w:val="32"/>
          <w:szCs w:val="32"/>
        </w:rPr>
        <w:t>个不同批号的试剂（盒），每个批号测试</w:t>
      </w:r>
      <w:r>
        <w:rPr>
          <w:rFonts w:eastAsia="仿宋"/>
          <w:color w:val="000000" w:themeColor="text1"/>
          <w:sz w:val="32"/>
          <w:szCs w:val="32"/>
        </w:rPr>
        <w:t>3</w:t>
      </w:r>
      <w:r>
        <w:rPr>
          <w:rFonts w:eastAsia="仿宋" w:hAnsi="仿宋"/>
          <w:color w:val="000000" w:themeColor="text1"/>
          <w:sz w:val="32"/>
          <w:szCs w:val="32"/>
        </w:rPr>
        <w:t>次，分别计算每批</w:t>
      </w:r>
      <w:r>
        <w:rPr>
          <w:rFonts w:eastAsia="仿宋"/>
          <w:color w:val="000000" w:themeColor="text1"/>
          <w:sz w:val="32"/>
          <w:szCs w:val="32"/>
        </w:rPr>
        <w:t>3</w:t>
      </w:r>
      <w:r>
        <w:rPr>
          <w:rFonts w:eastAsia="仿宋" w:hAnsi="仿宋"/>
          <w:color w:val="000000" w:themeColor="text1"/>
          <w:sz w:val="32"/>
          <w:szCs w:val="32"/>
        </w:rPr>
        <w:t>次测定的均值，计算相对</w:t>
      </w:r>
      <w:r>
        <w:rPr>
          <w:rFonts w:eastAsia="仿宋" w:hAnsi="仿宋" w:hint="eastAsia"/>
          <w:color w:val="000000" w:themeColor="text1"/>
          <w:sz w:val="32"/>
          <w:szCs w:val="32"/>
        </w:rPr>
        <w:t>偏</w:t>
      </w:r>
      <w:r>
        <w:rPr>
          <w:rFonts w:eastAsia="仿宋" w:hAnsi="仿宋"/>
          <w:color w:val="000000" w:themeColor="text1"/>
          <w:sz w:val="32"/>
          <w:szCs w:val="32"/>
        </w:rPr>
        <w:t>差。</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7.</w:t>
      </w:r>
      <w:r>
        <w:rPr>
          <w:rFonts w:eastAsia="仿宋" w:hAnsi="仿宋"/>
          <w:color w:val="000000" w:themeColor="text1"/>
          <w:sz w:val="32"/>
          <w:szCs w:val="32"/>
        </w:rPr>
        <w:t>干扰试验</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对样本中常见的干扰物质进行检测，如胆红素、血红蛋白、甘油三酯等。方法为对模拟添加样本分别进行验证，样本量选择应体现一定的统计学意义，说明样本的制备方法及干扰实验的评价标准，确定可接受的干扰物质极限浓度。</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8.</w:t>
      </w:r>
      <w:r>
        <w:rPr>
          <w:rFonts w:eastAsia="仿宋" w:hAnsi="仿宋"/>
          <w:color w:val="000000" w:themeColor="text1"/>
          <w:sz w:val="32"/>
          <w:szCs w:val="32"/>
        </w:rPr>
        <w:t>校准品溯源及</w:t>
      </w:r>
      <w:proofErr w:type="gramStart"/>
      <w:r>
        <w:rPr>
          <w:rFonts w:eastAsia="仿宋" w:hAnsi="仿宋"/>
          <w:color w:val="000000" w:themeColor="text1"/>
          <w:sz w:val="32"/>
          <w:szCs w:val="32"/>
        </w:rPr>
        <w:t>质控品赋值</w:t>
      </w:r>
      <w:proofErr w:type="gramEnd"/>
      <w:r>
        <w:rPr>
          <w:rFonts w:eastAsia="仿宋" w:hAnsi="仿宋"/>
          <w:color w:val="000000" w:themeColor="text1"/>
          <w:sz w:val="32"/>
          <w:szCs w:val="32"/>
        </w:rPr>
        <w:t>（如适用）</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应参照</w:t>
      </w:r>
      <w:r>
        <w:rPr>
          <w:rFonts w:eastAsia="仿宋"/>
          <w:color w:val="000000" w:themeColor="text1"/>
          <w:sz w:val="32"/>
          <w:szCs w:val="32"/>
        </w:rPr>
        <w:t>GB/T 21415—2008</w:t>
      </w:r>
      <w:r>
        <w:rPr>
          <w:rFonts w:eastAsia="仿宋" w:hAnsi="仿宋"/>
          <w:color w:val="000000" w:themeColor="text1"/>
          <w:sz w:val="32"/>
          <w:szCs w:val="32"/>
        </w:rPr>
        <w:t>《体外诊断医疗器械</w:t>
      </w:r>
      <w:r>
        <w:rPr>
          <w:rFonts w:eastAsia="仿宋"/>
          <w:color w:val="000000" w:themeColor="text1"/>
          <w:sz w:val="32"/>
          <w:szCs w:val="32"/>
        </w:rPr>
        <w:t xml:space="preserve"> </w:t>
      </w:r>
      <w:r>
        <w:rPr>
          <w:rFonts w:eastAsia="仿宋" w:hAnsi="仿宋"/>
          <w:color w:val="000000" w:themeColor="text1"/>
          <w:sz w:val="32"/>
          <w:szCs w:val="32"/>
        </w:rPr>
        <w:t>生物样品中量的测量</w:t>
      </w:r>
      <w:r>
        <w:rPr>
          <w:rFonts w:eastAsia="仿宋"/>
          <w:color w:val="000000" w:themeColor="text1"/>
          <w:sz w:val="32"/>
          <w:szCs w:val="32"/>
        </w:rPr>
        <w:t xml:space="preserve"> </w:t>
      </w:r>
      <w:r>
        <w:rPr>
          <w:rFonts w:eastAsia="仿宋" w:hAnsi="仿宋"/>
          <w:color w:val="000000" w:themeColor="text1"/>
          <w:sz w:val="32"/>
          <w:szCs w:val="32"/>
        </w:rPr>
        <w:t>校准品和控制物质赋值的计量学溯源性》的要求溯源至国家或国际标准物质，并提供校准品溯源性说明及</w:t>
      </w:r>
      <w:proofErr w:type="gramStart"/>
      <w:r>
        <w:rPr>
          <w:rFonts w:eastAsia="仿宋" w:hAnsi="仿宋"/>
          <w:color w:val="000000" w:themeColor="text1"/>
          <w:sz w:val="32"/>
          <w:szCs w:val="32"/>
        </w:rPr>
        <w:t>质控品赋值</w:t>
      </w:r>
      <w:proofErr w:type="gramEnd"/>
      <w:r>
        <w:rPr>
          <w:rFonts w:eastAsia="仿宋" w:hAnsi="仿宋"/>
          <w:color w:val="000000" w:themeColor="text1"/>
          <w:sz w:val="32"/>
          <w:szCs w:val="32"/>
        </w:rPr>
        <w:t>说明。提供企业（工作）校准品及试剂</w:t>
      </w:r>
      <w:proofErr w:type="gramStart"/>
      <w:r>
        <w:rPr>
          <w:rFonts w:eastAsia="仿宋" w:hAnsi="仿宋"/>
          <w:color w:val="000000" w:themeColor="text1"/>
          <w:sz w:val="32"/>
          <w:szCs w:val="32"/>
        </w:rPr>
        <w:t>盒配套</w:t>
      </w:r>
      <w:proofErr w:type="gramEnd"/>
      <w:r>
        <w:rPr>
          <w:rFonts w:eastAsia="仿宋" w:hAnsi="仿宋"/>
          <w:color w:val="000000" w:themeColor="text1"/>
          <w:sz w:val="32"/>
          <w:szCs w:val="32"/>
        </w:rPr>
        <w:t>校准品定值及不确定度计算记录，提供</w:t>
      </w:r>
      <w:proofErr w:type="gramStart"/>
      <w:r>
        <w:rPr>
          <w:rFonts w:eastAsia="仿宋" w:hAnsi="仿宋"/>
          <w:color w:val="000000" w:themeColor="text1"/>
          <w:sz w:val="32"/>
          <w:szCs w:val="32"/>
        </w:rPr>
        <w:t>质控品赋值及其靶值范围</w:t>
      </w:r>
      <w:proofErr w:type="gramEnd"/>
      <w:r>
        <w:rPr>
          <w:rFonts w:eastAsia="仿宋" w:hAnsi="仿宋"/>
          <w:color w:val="000000" w:themeColor="text1"/>
          <w:sz w:val="32"/>
          <w:szCs w:val="32"/>
        </w:rPr>
        <w:t>确定的记录。</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9.</w:t>
      </w:r>
      <w:r>
        <w:rPr>
          <w:rFonts w:eastAsia="仿宋" w:hAnsi="仿宋"/>
          <w:color w:val="000000" w:themeColor="text1"/>
          <w:sz w:val="32"/>
          <w:szCs w:val="32"/>
        </w:rPr>
        <w:t>其他需注意问题</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对于适用多个机型的产品，应提供产品说明书【适用仪器】项中所列的所有型号仪器的性能评估资料。</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如有多个包装规格，需要对不同包装规格之间的差异进行分析或验证，如不同包装规格产品间存在性能差异，需要提交采用每个包装规格产品的分析性能评估。如不同包装规格之间不存在性能差异，需要提交包装规格之间不存在性能差异的详细说明，具体说明不同包装规格之间的差别及可能产生的影响。</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lastRenderedPageBreak/>
        <w:t>试剂（盒）的测试样本类型如包括血清和血浆样本，则应对二者进行相关性研究以确认二者检测结果是否完全一致或存在某种相关性（如系数关系）。对于血浆样本，企业应对不同的抗凝剂进行研究以确认</w:t>
      </w:r>
      <w:proofErr w:type="gramStart"/>
      <w:r>
        <w:rPr>
          <w:rFonts w:eastAsia="仿宋" w:hAnsi="仿宋"/>
          <w:color w:val="000000" w:themeColor="text1"/>
          <w:sz w:val="32"/>
          <w:szCs w:val="32"/>
        </w:rPr>
        <w:t>最</w:t>
      </w:r>
      <w:proofErr w:type="gramEnd"/>
      <w:r>
        <w:rPr>
          <w:rFonts w:eastAsia="仿宋" w:hAnsi="仿宋"/>
          <w:color w:val="000000" w:themeColor="text1"/>
          <w:sz w:val="32"/>
          <w:szCs w:val="32"/>
        </w:rPr>
        <w:t>适的抗凝条件以及是否会干扰检测结果。</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如试剂盒带有校准品、质控品，性能评估时应将试剂和校准品、</w:t>
      </w:r>
      <w:proofErr w:type="gramStart"/>
      <w:r>
        <w:rPr>
          <w:rFonts w:eastAsia="仿宋" w:hAnsi="仿宋"/>
          <w:color w:val="000000" w:themeColor="text1"/>
          <w:sz w:val="32"/>
          <w:szCs w:val="32"/>
        </w:rPr>
        <w:t>质控品作为</w:t>
      </w:r>
      <w:proofErr w:type="gramEnd"/>
      <w:r>
        <w:rPr>
          <w:rFonts w:eastAsia="仿宋" w:hAnsi="仿宋"/>
          <w:color w:val="000000" w:themeColor="text1"/>
          <w:sz w:val="32"/>
          <w:szCs w:val="32"/>
        </w:rPr>
        <w:t>一个整体进行评价，评估整个系统的性能是否符合要求。</w:t>
      </w:r>
    </w:p>
    <w:p w:rsidR="00990962" w:rsidRDefault="00806EEC">
      <w:pPr>
        <w:spacing w:line="520" w:lineRule="exact"/>
        <w:ind w:firstLineChars="200" w:firstLine="640"/>
        <w:rPr>
          <w:rFonts w:eastAsia="楷体"/>
          <w:color w:val="000000" w:themeColor="text1"/>
          <w:sz w:val="32"/>
          <w:szCs w:val="32"/>
        </w:rPr>
      </w:pPr>
      <w:r>
        <w:rPr>
          <w:rFonts w:eastAsia="楷体" w:hAnsi="楷体"/>
          <w:color w:val="000000" w:themeColor="text1"/>
          <w:sz w:val="32"/>
          <w:szCs w:val="32"/>
        </w:rPr>
        <w:t>（五）参考区间确定资料</w:t>
      </w:r>
    </w:p>
    <w:p w:rsidR="00990962" w:rsidRDefault="00806EEC">
      <w:pPr>
        <w:spacing w:line="520" w:lineRule="exact"/>
        <w:ind w:firstLineChars="200" w:firstLine="640"/>
        <w:rPr>
          <w:rFonts w:ascii="宋体" w:hAnsi="宋体"/>
          <w:color w:val="000000" w:themeColor="text1"/>
          <w:sz w:val="32"/>
          <w:szCs w:val="32"/>
        </w:rPr>
      </w:pPr>
      <w:r>
        <w:rPr>
          <w:rFonts w:eastAsia="仿宋" w:hAnsi="仿宋"/>
          <w:color w:val="000000" w:themeColor="text1"/>
          <w:sz w:val="32"/>
          <w:szCs w:val="32"/>
        </w:rPr>
        <w:t>应提交建立参考区间所采用样本来源及详细的试验资料。应明确参考人群的筛选标准，研究各组（如性别、年龄等）例数应符合统计学要求。</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若引用针对中国人群参考值范围研究的相关文献，应明确说明出处，并进行验证。参考</w:t>
      </w:r>
      <w:proofErr w:type="gramStart"/>
      <w:r>
        <w:rPr>
          <w:rFonts w:eastAsia="仿宋" w:hAnsi="仿宋"/>
          <w:color w:val="000000" w:themeColor="text1"/>
          <w:sz w:val="32"/>
          <w:szCs w:val="32"/>
        </w:rPr>
        <w:t>值研究</w:t>
      </w:r>
      <w:proofErr w:type="gramEnd"/>
      <w:r>
        <w:rPr>
          <w:rFonts w:eastAsia="仿宋" w:hAnsi="仿宋"/>
          <w:color w:val="000000" w:themeColor="text1"/>
          <w:sz w:val="32"/>
          <w:szCs w:val="32"/>
        </w:rPr>
        <w:t>结果应在说明书【参考区间】项中进行相应说明。</w:t>
      </w:r>
    </w:p>
    <w:p w:rsidR="00990962" w:rsidRDefault="00806EEC">
      <w:pPr>
        <w:spacing w:line="520" w:lineRule="exact"/>
        <w:ind w:firstLineChars="200" w:firstLine="640"/>
        <w:rPr>
          <w:rFonts w:eastAsia="楷体"/>
          <w:color w:val="000000" w:themeColor="text1"/>
          <w:sz w:val="32"/>
          <w:szCs w:val="32"/>
        </w:rPr>
      </w:pPr>
      <w:r>
        <w:rPr>
          <w:rFonts w:eastAsia="楷体" w:hAnsi="楷体"/>
          <w:color w:val="000000" w:themeColor="text1"/>
          <w:sz w:val="32"/>
          <w:szCs w:val="32"/>
        </w:rPr>
        <w:t>（六）稳定性研究资料</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稳定性研究主要包括效期稳定性、开封稳定性、</w:t>
      </w:r>
      <w:proofErr w:type="gramStart"/>
      <w:r>
        <w:rPr>
          <w:rFonts w:eastAsia="仿宋" w:hAnsi="仿宋"/>
          <w:color w:val="000000" w:themeColor="text1"/>
          <w:sz w:val="32"/>
          <w:szCs w:val="32"/>
        </w:rPr>
        <w:t>复溶稳定性</w:t>
      </w:r>
      <w:proofErr w:type="gramEnd"/>
      <w:r>
        <w:rPr>
          <w:rFonts w:eastAsia="仿宋" w:hAnsi="仿宋"/>
          <w:color w:val="000000" w:themeColor="text1"/>
          <w:sz w:val="32"/>
          <w:szCs w:val="32"/>
        </w:rPr>
        <w:t>（冻干粉）、运输稳定性等，企业可根据实际需要选择合理的稳定性研究方案。稳定性研究资料应包括研究方法的确定依据、具体方法及过程。稳定性研究，应提供至少</w:t>
      </w:r>
      <w:r>
        <w:rPr>
          <w:rFonts w:eastAsia="仿宋"/>
          <w:color w:val="000000" w:themeColor="text1"/>
          <w:sz w:val="32"/>
          <w:szCs w:val="32"/>
        </w:rPr>
        <w:t>3</w:t>
      </w:r>
      <w:r>
        <w:rPr>
          <w:rFonts w:eastAsia="仿宋" w:hAnsi="仿宋"/>
          <w:color w:val="000000" w:themeColor="text1"/>
          <w:sz w:val="32"/>
          <w:szCs w:val="32"/>
        </w:rPr>
        <w:t>批样品在实际储存条件下保存至成品有效期后的研究资料。</w:t>
      </w:r>
    </w:p>
    <w:p w:rsidR="00990962" w:rsidRDefault="00806EEC">
      <w:pPr>
        <w:spacing w:line="520" w:lineRule="exact"/>
        <w:ind w:firstLineChars="200" w:firstLine="640"/>
        <w:rPr>
          <w:rFonts w:eastAsia="楷体"/>
          <w:color w:val="000000" w:themeColor="text1"/>
          <w:sz w:val="32"/>
          <w:szCs w:val="32"/>
        </w:rPr>
      </w:pPr>
      <w:r>
        <w:rPr>
          <w:rFonts w:eastAsia="楷体" w:hAnsi="楷体"/>
          <w:color w:val="000000" w:themeColor="text1"/>
          <w:sz w:val="32"/>
          <w:szCs w:val="32"/>
        </w:rPr>
        <w:t>（七）临床评价资料</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试剂（盒）按照《关于发布体外诊断试剂临床试验技术指导原则的通告》（国家食品药品监督管理总局通告</w:t>
      </w:r>
      <w:r>
        <w:rPr>
          <w:rFonts w:eastAsia="仿宋"/>
          <w:color w:val="000000" w:themeColor="text1"/>
          <w:sz w:val="32"/>
          <w:szCs w:val="32"/>
        </w:rPr>
        <w:t>2014</w:t>
      </w:r>
      <w:r>
        <w:rPr>
          <w:rFonts w:eastAsia="仿宋" w:hAnsi="仿宋"/>
          <w:color w:val="000000" w:themeColor="text1"/>
          <w:sz w:val="32"/>
          <w:szCs w:val="32"/>
        </w:rPr>
        <w:t>年第</w:t>
      </w:r>
      <w:r>
        <w:rPr>
          <w:rFonts w:eastAsia="仿宋"/>
          <w:color w:val="000000" w:themeColor="text1"/>
          <w:sz w:val="32"/>
          <w:szCs w:val="32"/>
        </w:rPr>
        <w:t>16</w:t>
      </w:r>
      <w:r>
        <w:rPr>
          <w:rFonts w:eastAsia="仿宋" w:hAnsi="仿宋"/>
          <w:color w:val="000000" w:themeColor="text1"/>
          <w:sz w:val="32"/>
          <w:szCs w:val="32"/>
        </w:rPr>
        <w:t>号）执行。同时研究资料的形式应符合《体外诊断试剂注册管理办法》和《关于公布体外诊断试剂注册申报资料要求和批准证明文件格</w:t>
      </w:r>
      <w:r>
        <w:rPr>
          <w:rFonts w:eastAsia="仿宋" w:hAnsi="仿宋"/>
          <w:color w:val="000000" w:themeColor="text1"/>
          <w:sz w:val="32"/>
          <w:szCs w:val="32"/>
        </w:rPr>
        <w:lastRenderedPageBreak/>
        <w:t>式的公告》（国家食品药品监督管理总局公告</w:t>
      </w:r>
      <w:r>
        <w:rPr>
          <w:rFonts w:eastAsia="仿宋" w:hAnsi="仿宋"/>
          <w:color w:val="000000" w:themeColor="text1"/>
          <w:sz w:val="32"/>
          <w:szCs w:val="32"/>
        </w:rPr>
        <w:t>2014</w:t>
      </w:r>
      <w:r>
        <w:rPr>
          <w:rFonts w:eastAsia="仿宋" w:hAnsi="仿宋"/>
          <w:color w:val="000000" w:themeColor="text1"/>
          <w:sz w:val="32"/>
          <w:szCs w:val="32"/>
        </w:rPr>
        <w:t>年第</w:t>
      </w:r>
      <w:r>
        <w:rPr>
          <w:rFonts w:eastAsia="仿宋" w:hAnsi="仿宋"/>
          <w:color w:val="000000" w:themeColor="text1"/>
          <w:sz w:val="32"/>
          <w:szCs w:val="32"/>
        </w:rPr>
        <w:t>44</w:t>
      </w:r>
      <w:r>
        <w:rPr>
          <w:rFonts w:eastAsia="仿宋" w:hAnsi="仿宋"/>
          <w:color w:val="000000" w:themeColor="text1"/>
          <w:sz w:val="32"/>
          <w:szCs w:val="32"/>
        </w:rPr>
        <w:t>号）临床研究资料有关的规定。</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1.</w:t>
      </w:r>
      <w:r>
        <w:rPr>
          <w:rFonts w:eastAsia="仿宋" w:hAnsi="仿宋"/>
          <w:color w:val="000000" w:themeColor="text1"/>
          <w:sz w:val="32"/>
          <w:szCs w:val="32"/>
        </w:rPr>
        <w:t>研究方法</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选择境内已批准上市的性能普遍认为较好的同类产品作为参比试剂，采用待考核的体外诊断试剂（以下称为考核试剂）与之进行对比试验研究，证明本品与已上市产品等效。</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2.</w:t>
      </w:r>
      <w:r>
        <w:rPr>
          <w:rFonts w:eastAsia="仿宋" w:hAnsi="仿宋"/>
          <w:color w:val="000000" w:themeColor="text1"/>
          <w:sz w:val="32"/>
          <w:szCs w:val="32"/>
        </w:rPr>
        <w:t>临床研究单位的选择</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应选</w:t>
      </w:r>
      <w:proofErr w:type="gramStart"/>
      <w:r>
        <w:rPr>
          <w:rFonts w:eastAsia="仿宋" w:hAnsi="仿宋"/>
          <w:color w:val="000000" w:themeColor="text1"/>
          <w:sz w:val="32"/>
          <w:szCs w:val="32"/>
        </w:rPr>
        <w:t>择至少</w:t>
      </w:r>
      <w:proofErr w:type="gramEnd"/>
      <w:r>
        <w:rPr>
          <w:rFonts w:eastAsia="仿宋" w:hAnsi="仿宋"/>
          <w:color w:val="000000" w:themeColor="text1"/>
          <w:sz w:val="32"/>
          <w:szCs w:val="32"/>
        </w:rPr>
        <w:t>两家获得国家食品药品监督管理总局资质认可的医疗机构（目前仍执行省级以上医院的要求），临床研究单位实验操作人员应有足够的时间熟悉检测系统的各环节（试剂、</w:t>
      </w:r>
      <w:proofErr w:type="gramStart"/>
      <w:r>
        <w:rPr>
          <w:rFonts w:eastAsia="仿宋" w:hAnsi="仿宋"/>
          <w:color w:val="000000" w:themeColor="text1"/>
          <w:sz w:val="32"/>
          <w:szCs w:val="32"/>
        </w:rPr>
        <w:t>质控及操作</w:t>
      </w:r>
      <w:proofErr w:type="gramEnd"/>
      <w:r>
        <w:rPr>
          <w:rFonts w:eastAsia="仿宋" w:hAnsi="仿宋"/>
          <w:color w:val="000000" w:themeColor="text1"/>
          <w:sz w:val="32"/>
          <w:szCs w:val="32"/>
        </w:rPr>
        <w:t>程序等），熟悉评价方案。在整个实验中，考核试剂和</w:t>
      </w:r>
      <w:proofErr w:type="gramStart"/>
      <w:r>
        <w:rPr>
          <w:rFonts w:eastAsia="仿宋" w:hAnsi="仿宋"/>
          <w:color w:val="000000" w:themeColor="text1"/>
          <w:sz w:val="32"/>
          <w:szCs w:val="32"/>
        </w:rPr>
        <w:t>参比</w:t>
      </w:r>
      <w:proofErr w:type="gramEnd"/>
      <w:r>
        <w:rPr>
          <w:rFonts w:eastAsia="仿宋" w:hAnsi="仿宋"/>
          <w:color w:val="000000" w:themeColor="text1"/>
          <w:sz w:val="32"/>
          <w:szCs w:val="32"/>
        </w:rPr>
        <w:t>试剂都应处于有效的质量控制下，最大限度保证试验数据的准确性及可重复性。</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3.</w:t>
      </w:r>
      <w:r>
        <w:rPr>
          <w:rFonts w:eastAsia="仿宋" w:hAnsi="仿宋"/>
          <w:color w:val="000000" w:themeColor="text1"/>
          <w:sz w:val="32"/>
          <w:szCs w:val="32"/>
        </w:rPr>
        <w:t>伦理要求</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临床试验必须符合赫尔辛基宣言的伦理学准则，必须获得临床试验机构伦理委员会的同意，如该临床试验对受试者几乎没有风险，可经伦理委员会审查和批准后免于受试者的知情同意。</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4.</w:t>
      </w:r>
      <w:r>
        <w:rPr>
          <w:rFonts w:eastAsia="仿宋" w:hAnsi="仿宋"/>
          <w:color w:val="000000" w:themeColor="text1"/>
          <w:sz w:val="32"/>
          <w:szCs w:val="32"/>
        </w:rPr>
        <w:t>临床试验方案</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临床试验实施前，研究人员应从流行病学、统计学、临床医学、检验医学等多方面考虑，设计科学合理的临床研究方案。各临床研究机构的方案设置应保持一致，且保证在整个临床试验过程中遵循预定的方案实施，不可随意改动。整个试验过程应在临床研究机构的实验室内并由本实验室的技术人员操作完成。</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试验方案中应确定严格的病例纳入</w:t>
      </w:r>
      <w:r>
        <w:rPr>
          <w:rFonts w:eastAsia="仿宋"/>
          <w:color w:val="000000" w:themeColor="text1"/>
          <w:sz w:val="32"/>
          <w:szCs w:val="32"/>
        </w:rPr>
        <w:t>/</w:t>
      </w:r>
      <w:r>
        <w:rPr>
          <w:rFonts w:eastAsia="仿宋" w:hAnsi="仿宋"/>
          <w:color w:val="000000" w:themeColor="text1"/>
          <w:sz w:val="32"/>
          <w:szCs w:val="32"/>
        </w:rPr>
        <w:t>排除标准，任何已经入选的病例再被排除出临床研究都应记录在案并明确说明原因。在</w:t>
      </w:r>
      <w:r>
        <w:rPr>
          <w:rFonts w:eastAsia="仿宋" w:hAnsi="仿宋"/>
          <w:color w:val="000000" w:themeColor="text1"/>
          <w:sz w:val="32"/>
          <w:szCs w:val="32"/>
        </w:rPr>
        <w:lastRenderedPageBreak/>
        <w:t>试验操作过程中和判定试验结果时应</w:t>
      </w:r>
      <w:proofErr w:type="gramStart"/>
      <w:r>
        <w:rPr>
          <w:rFonts w:eastAsia="仿宋" w:hAnsi="仿宋"/>
          <w:color w:val="000000" w:themeColor="text1"/>
          <w:sz w:val="32"/>
          <w:szCs w:val="32"/>
        </w:rPr>
        <w:t>采用盲法以</w:t>
      </w:r>
      <w:proofErr w:type="gramEnd"/>
      <w:r>
        <w:rPr>
          <w:rFonts w:eastAsia="仿宋" w:hAnsi="仿宋"/>
          <w:color w:val="000000" w:themeColor="text1"/>
          <w:sz w:val="32"/>
          <w:szCs w:val="32"/>
        </w:rPr>
        <w:t>保证试验结果的客观性。各研究单位选用的参比试剂及所用机型应保持一致，以便进行合理的统计学分析。另外，考核试剂的样本类型应与产品说明书一致，且不应超越参比试剂对样本类型的检测要求，如果选择了参比试剂适用样本类型以外的样本，则应采用临床金标准对额外的样本类型进行验证。</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5.</w:t>
      </w:r>
      <w:r>
        <w:rPr>
          <w:rFonts w:eastAsia="仿宋" w:hAnsi="仿宋"/>
          <w:color w:val="000000" w:themeColor="text1"/>
          <w:sz w:val="32"/>
          <w:szCs w:val="32"/>
        </w:rPr>
        <w:t>研究对象选择</w:t>
      </w:r>
    </w:p>
    <w:p w:rsidR="00990962" w:rsidRDefault="00806EEC">
      <w:pPr>
        <w:spacing w:line="520" w:lineRule="exact"/>
        <w:ind w:firstLineChars="200" w:firstLine="640"/>
        <w:rPr>
          <w:rFonts w:eastAsia="仿宋" w:hAnsi="仿宋"/>
          <w:color w:val="000000" w:themeColor="text1"/>
          <w:sz w:val="32"/>
          <w:szCs w:val="32"/>
        </w:rPr>
      </w:pPr>
      <w:r>
        <w:rPr>
          <w:rFonts w:eastAsia="仿宋" w:hAnsi="仿宋"/>
          <w:color w:val="000000" w:themeColor="text1"/>
          <w:sz w:val="32"/>
          <w:szCs w:val="32"/>
        </w:rPr>
        <w:t>临床试验应选择具有特定症状</w:t>
      </w:r>
      <w:r>
        <w:rPr>
          <w:rFonts w:eastAsia="仿宋" w:hAnsi="仿宋"/>
          <w:color w:val="000000" w:themeColor="text1"/>
          <w:sz w:val="32"/>
          <w:szCs w:val="32"/>
        </w:rPr>
        <w:t>/</w:t>
      </w:r>
      <w:r>
        <w:rPr>
          <w:rFonts w:eastAsia="仿宋" w:hAnsi="仿宋"/>
          <w:color w:val="000000" w:themeColor="text1"/>
          <w:sz w:val="32"/>
          <w:szCs w:val="32"/>
        </w:rPr>
        <w:t>体征人群作为研究对象。企业在建立病例纳入标准时，应考虑到不同人群</w:t>
      </w:r>
      <w:r>
        <w:rPr>
          <w:rFonts w:eastAsia="仿宋" w:hAnsi="仿宋" w:hint="eastAsia"/>
          <w:color w:val="000000" w:themeColor="text1"/>
          <w:sz w:val="32"/>
          <w:szCs w:val="32"/>
        </w:rPr>
        <w:t>（包括年龄、性别、地域等）是否存在</w:t>
      </w:r>
      <w:r>
        <w:rPr>
          <w:rFonts w:eastAsia="仿宋" w:hAnsi="仿宋"/>
          <w:color w:val="000000" w:themeColor="text1"/>
          <w:sz w:val="32"/>
          <w:szCs w:val="32"/>
        </w:rPr>
        <w:t>的差异，尽量覆盖各类适用人群。在进行结果统计分析时，建议对各类人群分别进行数据统计分析。</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研究总体样本数不少于</w:t>
      </w:r>
      <w:r>
        <w:rPr>
          <w:rFonts w:eastAsia="仿宋"/>
          <w:color w:val="000000" w:themeColor="text1"/>
          <w:sz w:val="32"/>
          <w:szCs w:val="32"/>
        </w:rPr>
        <w:t>200</w:t>
      </w:r>
      <w:r>
        <w:rPr>
          <w:rFonts w:eastAsia="仿宋" w:hAnsi="仿宋"/>
          <w:color w:val="000000" w:themeColor="text1"/>
          <w:sz w:val="32"/>
          <w:szCs w:val="32"/>
        </w:rPr>
        <w:t>例，应充分考虑对病理值样本的验证。样本中待测物浓度应</w:t>
      </w:r>
      <w:r>
        <w:rPr>
          <w:rFonts w:eastAsia="仿宋" w:hAnsi="仿宋" w:hint="eastAsia"/>
          <w:color w:val="000000" w:themeColor="text1"/>
          <w:sz w:val="32"/>
          <w:szCs w:val="32"/>
        </w:rPr>
        <w:t>尽可能</w:t>
      </w:r>
      <w:r>
        <w:rPr>
          <w:rFonts w:eastAsia="仿宋" w:hAnsi="仿宋"/>
          <w:color w:val="000000" w:themeColor="text1"/>
          <w:sz w:val="32"/>
          <w:szCs w:val="32"/>
        </w:rPr>
        <w:t>覆盖考核试剂线性范围</w:t>
      </w:r>
      <w:r>
        <w:rPr>
          <w:rFonts w:eastAsia="仿宋" w:hAnsi="仿宋" w:hint="eastAsia"/>
          <w:color w:val="000000" w:themeColor="text1"/>
          <w:sz w:val="32"/>
          <w:szCs w:val="32"/>
        </w:rPr>
        <w:t>或临床意义范围</w:t>
      </w:r>
      <w:r>
        <w:rPr>
          <w:rFonts w:eastAsia="仿宋" w:hAnsi="仿宋"/>
          <w:color w:val="000000" w:themeColor="text1"/>
          <w:sz w:val="32"/>
          <w:szCs w:val="32"/>
        </w:rPr>
        <w:t>，且</w:t>
      </w:r>
      <w:r>
        <w:rPr>
          <w:rFonts w:eastAsia="仿宋" w:hAnsi="仿宋" w:hint="eastAsia"/>
          <w:color w:val="000000" w:themeColor="text1"/>
          <w:sz w:val="32"/>
          <w:szCs w:val="32"/>
        </w:rPr>
        <w:t>样本分布应相对均衡</w:t>
      </w:r>
      <w:r>
        <w:rPr>
          <w:rFonts w:eastAsia="仿宋" w:hAnsi="仿宋"/>
          <w:color w:val="000000" w:themeColor="text1"/>
          <w:sz w:val="32"/>
          <w:szCs w:val="32"/>
        </w:rPr>
        <w:t>。</w:t>
      </w:r>
    </w:p>
    <w:p w:rsidR="00990962" w:rsidRDefault="00806EEC">
      <w:pPr>
        <w:spacing w:line="520" w:lineRule="exact"/>
        <w:ind w:firstLineChars="200" w:firstLine="640"/>
        <w:rPr>
          <w:rFonts w:eastAsia="仿宋"/>
          <w:color w:val="000000" w:themeColor="text1"/>
          <w:sz w:val="32"/>
          <w:szCs w:val="32"/>
        </w:rPr>
      </w:pPr>
      <w:r>
        <w:rPr>
          <w:rFonts w:eastAsia="仿宋" w:hAnsi="仿宋" w:hint="eastAsia"/>
          <w:color w:val="000000" w:themeColor="text1"/>
          <w:sz w:val="32"/>
          <w:szCs w:val="32"/>
        </w:rPr>
        <w:t>样本</w:t>
      </w:r>
      <w:r>
        <w:rPr>
          <w:rFonts w:eastAsia="仿宋" w:hAnsi="仿宋"/>
          <w:color w:val="000000" w:themeColor="text1"/>
          <w:sz w:val="32"/>
          <w:szCs w:val="32"/>
        </w:rPr>
        <w:t>应明确抗凝剂的要求、存贮条件、可否冻融</w:t>
      </w:r>
      <w:r>
        <w:rPr>
          <w:rFonts w:eastAsia="仿宋" w:hAnsi="仿宋" w:hint="eastAsia"/>
          <w:color w:val="000000" w:themeColor="text1"/>
          <w:sz w:val="32"/>
          <w:szCs w:val="32"/>
        </w:rPr>
        <w:t>、干扰物质的影响</w:t>
      </w:r>
      <w:r>
        <w:rPr>
          <w:rFonts w:eastAsia="仿宋" w:hAnsi="仿宋"/>
          <w:color w:val="000000" w:themeColor="text1"/>
          <w:sz w:val="32"/>
          <w:szCs w:val="32"/>
        </w:rPr>
        <w:t>等要求及避免使用的样本。实验中，尽可能使用新鲜样本，避免贮存。如无法避免使用贮存样品时，注明贮存条件及时间，在数据分析时应考虑其影响。</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如果声称同时适用于血清</w:t>
      </w:r>
      <w:r>
        <w:rPr>
          <w:rFonts w:eastAsia="仿宋"/>
          <w:color w:val="000000" w:themeColor="text1"/>
          <w:sz w:val="32"/>
          <w:szCs w:val="32"/>
        </w:rPr>
        <w:t>/</w:t>
      </w:r>
      <w:r>
        <w:rPr>
          <w:rFonts w:eastAsia="仿宋" w:hAnsi="仿宋"/>
          <w:color w:val="000000" w:themeColor="text1"/>
          <w:sz w:val="32"/>
          <w:szCs w:val="32"/>
        </w:rPr>
        <w:t>血浆</w:t>
      </w:r>
      <w:r>
        <w:rPr>
          <w:rFonts w:eastAsia="仿宋"/>
          <w:color w:val="000000" w:themeColor="text1"/>
          <w:sz w:val="32"/>
          <w:szCs w:val="32"/>
        </w:rPr>
        <w:t>/</w:t>
      </w:r>
      <w:r>
        <w:rPr>
          <w:rFonts w:eastAsia="仿宋" w:hAnsi="仿宋"/>
          <w:color w:val="000000" w:themeColor="text1"/>
          <w:sz w:val="32"/>
          <w:szCs w:val="32"/>
        </w:rPr>
        <w:t>全血样本，那么血清（或血浆或全血）的试验例数参照上述要求，</w:t>
      </w:r>
      <w:r>
        <w:rPr>
          <w:rFonts w:eastAsia="仿宋" w:hAnsi="仿宋" w:hint="eastAsia"/>
          <w:color w:val="000000" w:themeColor="text1"/>
          <w:sz w:val="32"/>
          <w:szCs w:val="32"/>
        </w:rPr>
        <w:t>还</w:t>
      </w:r>
      <w:r>
        <w:rPr>
          <w:rFonts w:eastAsia="仿宋" w:hAnsi="仿宋"/>
          <w:color w:val="000000" w:themeColor="text1"/>
          <w:sz w:val="32"/>
          <w:szCs w:val="32"/>
        </w:rPr>
        <w:t>应对二者进行相关性研究以确认二者检测结果是否完全一致或存在某种相关性（如系数关系），其例数应符合统计学要求。建议参考下述增加样本类型的变更要求。</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如产品发生涉及检测条件优化、增加与原样本类型具有可比性的其他样本类型等变更事项，临床样本总数至少为</w:t>
      </w:r>
      <w:r>
        <w:rPr>
          <w:rFonts w:eastAsia="仿宋"/>
          <w:color w:val="000000" w:themeColor="text1"/>
          <w:sz w:val="32"/>
          <w:szCs w:val="32"/>
        </w:rPr>
        <w:t>100</w:t>
      </w:r>
      <w:r>
        <w:rPr>
          <w:rFonts w:eastAsia="仿宋" w:hAnsi="仿宋"/>
          <w:color w:val="000000" w:themeColor="text1"/>
          <w:sz w:val="32"/>
          <w:szCs w:val="32"/>
        </w:rPr>
        <w:t>例，并</w:t>
      </w:r>
      <w:r>
        <w:rPr>
          <w:rFonts w:eastAsia="仿宋" w:hAnsi="仿宋"/>
          <w:color w:val="000000" w:themeColor="text1"/>
          <w:sz w:val="32"/>
          <w:szCs w:val="32"/>
        </w:rPr>
        <w:lastRenderedPageBreak/>
        <w:t>在至少两家临床试验机构开展临床试验；变更主要原材料的供应商、参考区间的变化及增加临床适应症等变更事项，应根据产品具体变更情况，酌情增加临床试验总样本数。</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6.</w:t>
      </w:r>
      <w:r>
        <w:rPr>
          <w:rFonts w:eastAsia="仿宋" w:hAnsi="仿宋"/>
          <w:color w:val="000000" w:themeColor="text1"/>
          <w:sz w:val="32"/>
          <w:szCs w:val="32"/>
        </w:rPr>
        <w:t>统计学分析</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对临床试验结果的统计应选择合适的统计方法，如相关分析、线性回归、绝对偏倚</w:t>
      </w:r>
      <w:r>
        <w:rPr>
          <w:rFonts w:eastAsia="仿宋"/>
          <w:color w:val="000000" w:themeColor="text1"/>
          <w:sz w:val="32"/>
          <w:szCs w:val="32"/>
        </w:rPr>
        <w:t>/</w:t>
      </w:r>
      <w:r>
        <w:rPr>
          <w:rFonts w:eastAsia="仿宋" w:hAnsi="仿宋"/>
          <w:color w:val="000000" w:themeColor="text1"/>
          <w:sz w:val="32"/>
          <w:szCs w:val="32"/>
        </w:rPr>
        <w:t>偏差及相对偏倚</w:t>
      </w:r>
      <w:r>
        <w:rPr>
          <w:rFonts w:eastAsia="仿宋"/>
          <w:color w:val="000000" w:themeColor="text1"/>
          <w:sz w:val="32"/>
          <w:szCs w:val="32"/>
        </w:rPr>
        <w:t>/</w:t>
      </w:r>
      <w:r>
        <w:rPr>
          <w:rFonts w:eastAsia="仿宋" w:hAnsi="仿宋"/>
          <w:color w:val="000000" w:themeColor="text1"/>
          <w:sz w:val="32"/>
          <w:szCs w:val="32"/>
        </w:rPr>
        <w:t>偏差分析等。对于对比实验的等效性研究，最常用是对考核试剂和</w:t>
      </w:r>
      <w:proofErr w:type="gramStart"/>
      <w:r>
        <w:rPr>
          <w:rFonts w:eastAsia="仿宋" w:hAnsi="仿宋"/>
          <w:color w:val="000000" w:themeColor="text1"/>
          <w:sz w:val="32"/>
          <w:szCs w:val="32"/>
        </w:rPr>
        <w:t>参比</w:t>
      </w:r>
      <w:proofErr w:type="gramEnd"/>
      <w:r>
        <w:rPr>
          <w:rFonts w:eastAsia="仿宋" w:hAnsi="仿宋"/>
          <w:color w:val="000000" w:themeColor="text1"/>
          <w:sz w:val="32"/>
          <w:szCs w:val="32"/>
        </w:rPr>
        <w:t>试剂两组检测结果的相关及线性回归分析，应重点观察相关系数（</w:t>
      </w:r>
      <w:r>
        <w:rPr>
          <w:rFonts w:eastAsia="仿宋"/>
          <w:color w:val="000000" w:themeColor="text1"/>
          <w:sz w:val="32"/>
          <w:szCs w:val="32"/>
        </w:rPr>
        <w:t>r</w:t>
      </w:r>
      <w:r>
        <w:rPr>
          <w:rFonts w:eastAsia="仿宋" w:hAnsi="仿宋"/>
          <w:color w:val="000000" w:themeColor="text1"/>
          <w:sz w:val="32"/>
          <w:szCs w:val="32"/>
        </w:rPr>
        <w:t>值）或判定系数（</w:t>
      </w:r>
      <w:r>
        <w:rPr>
          <w:rFonts w:eastAsia="仿宋"/>
          <w:color w:val="000000" w:themeColor="text1"/>
          <w:sz w:val="32"/>
          <w:szCs w:val="32"/>
        </w:rPr>
        <w:t>R</w:t>
      </w:r>
      <w:r>
        <w:rPr>
          <w:rFonts w:eastAsia="仿宋"/>
          <w:color w:val="000000" w:themeColor="text1"/>
          <w:sz w:val="32"/>
          <w:szCs w:val="32"/>
          <w:vertAlign w:val="superscript"/>
        </w:rPr>
        <w:t>2</w:t>
      </w:r>
      <w:r>
        <w:rPr>
          <w:rFonts w:eastAsia="仿宋" w:hAnsi="仿宋"/>
          <w:color w:val="000000" w:themeColor="text1"/>
          <w:sz w:val="32"/>
          <w:szCs w:val="32"/>
        </w:rPr>
        <w:t>）、回归拟合方程（斜率和</w:t>
      </w:r>
      <w:r>
        <w:rPr>
          <w:rFonts w:eastAsia="仿宋"/>
          <w:color w:val="000000" w:themeColor="text1"/>
          <w:sz w:val="32"/>
          <w:szCs w:val="32"/>
        </w:rPr>
        <w:t>y</w:t>
      </w:r>
      <w:r>
        <w:rPr>
          <w:rFonts w:eastAsia="仿宋" w:hAnsi="仿宋"/>
          <w:color w:val="000000" w:themeColor="text1"/>
          <w:sz w:val="32"/>
          <w:szCs w:val="32"/>
        </w:rPr>
        <w:t>轴截距）等指标</w:t>
      </w:r>
      <w:r>
        <w:rPr>
          <w:rFonts w:eastAsia="仿宋" w:hint="eastAsia"/>
          <w:color w:val="000000" w:themeColor="text1"/>
          <w:sz w:val="32"/>
          <w:szCs w:val="32"/>
        </w:rPr>
        <w:t>，并对其进行假设检验</w:t>
      </w:r>
      <w:r>
        <w:rPr>
          <w:rFonts w:eastAsia="仿宋"/>
          <w:color w:val="000000" w:themeColor="text1"/>
          <w:sz w:val="32"/>
          <w:szCs w:val="32"/>
        </w:rPr>
        <w:t>。另外还可辅以配对资料的</w:t>
      </w:r>
      <w:r>
        <w:rPr>
          <w:rFonts w:eastAsia="仿宋"/>
          <w:color w:val="000000" w:themeColor="text1"/>
          <w:sz w:val="32"/>
          <w:szCs w:val="32"/>
        </w:rPr>
        <w:t>t</w:t>
      </w:r>
      <w:r>
        <w:rPr>
          <w:rFonts w:eastAsia="仿宋"/>
          <w:color w:val="000000" w:themeColor="text1"/>
          <w:sz w:val="32"/>
          <w:szCs w:val="32"/>
        </w:rPr>
        <w:t>检验进行差异性分析。</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结合临床试验数据的正</w:t>
      </w:r>
      <w:r>
        <w:rPr>
          <w:rFonts w:eastAsia="仿宋"/>
          <w:color w:val="000000" w:themeColor="text1"/>
          <w:sz w:val="32"/>
          <w:szCs w:val="32"/>
        </w:rPr>
        <w:t>/</w:t>
      </w:r>
      <w:r>
        <w:rPr>
          <w:rFonts w:eastAsia="仿宋" w:hAnsi="仿宋"/>
          <w:color w:val="000000" w:themeColor="text1"/>
          <w:sz w:val="32"/>
          <w:szCs w:val="32"/>
        </w:rPr>
        <w:t>偏态分布情况，建议统计学负责人选择合理的统计学方法进行分析，统计分析应可以证明两种方法的检测结果无明显统计学差异。在临床研究方案中应明确统计检验假设，即评价考核试剂与参比试剂是否等效的标准。</w:t>
      </w:r>
    </w:p>
    <w:p w:rsidR="00990962" w:rsidRDefault="00806EEC">
      <w:pPr>
        <w:spacing w:line="520" w:lineRule="exact"/>
        <w:ind w:firstLineChars="200" w:firstLine="640"/>
        <w:rPr>
          <w:rFonts w:eastAsia="仿宋"/>
          <w:color w:val="000000" w:themeColor="text1"/>
          <w:sz w:val="32"/>
          <w:szCs w:val="32"/>
        </w:rPr>
      </w:pPr>
      <w:r>
        <w:rPr>
          <w:rFonts w:eastAsia="仿宋"/>
          <w:color w:val="000000" w:themeColor="text1"/>
          <w:sz w:val="32"/>
          <w:szCs w:val="32"/>
        </w:rPr>
        <w:t>7.</w:t>
      </w:r>
      <w:r>
        <w:rPr>
          <w:rFonts w:eastAsia="仿宋" w:hAnsi="仿宋"/>
          <w:color w:val="000000" w:themeColor="text1"/>
          <w:sz w:val="32"/>
          <w:szCs w:val="32"/>
        </w:rPr>
        <w:t>临床试验总结报告撰写</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w:t>
      </w:r>
      <w:r>
        <w:rPr>
          <w:rFonts w:eastAsia="仿宋"/>
          <w:color w:val="000000" w:themeColor="text1"/>
          <w:sz w:val="32"/>
          <w:szCs w:val="32"/>
        </w:rPr>
        <w:t>1</w:t>
      </w:r>
      <w:r>
        <w:rPr>
          <w:rFonts w:eastAsia="仿宋" w:hAnsi="仿宋"/>
          <w:color w:val="000000" w:themeColor="text1"/>
          <w:sz w:val="32"/>
          <w:szCs w:val="32"/>
        </w:rPr>
        <w:t>）临床试验总体设计及方案描述</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1 \* GB3 </w:instrText>
      </w:r>
      <w:r>
        <w:rPr>
          <w:rFonts w:eastAsia="仿宋"/>
          <w:color w:val="000000" w:themeColor="text1"/>
          <w:sz w:val="32"/>
          <w:szCs w:val="32"/>
        </w:rPr>
        <w:fldChar w:fldCharType="separate"/>
      </w:r>
      <w:r w:rsidR="00806EEC">
        <w:rPr>
          <w:rFonts w:eastAsia="仿宋" w:hAnsi="仿宋"/>
          <w:color w:val="000000" w:themeColor="text1"/>
          <w:sz w:val="32"/>
          <w:szCs w:val="32"/>
        </w:rPr>
        <w:t>①</w:t>
      </w:r>
      <w:r>
        <w:rPr>
          <w:rFonts w:eastAsia="仿宋"/>
          <w:color w:val="000000" w:themeColor="text1"/>
          <w:sz w:val="32"/>
          <w:szCs w:val="32"/>
        </w:rPr>
        <w:fldChar w:fldCharType="end"/>
      </w:r>
      <w:r w:rsidR="00806EEC">
        <w:rPr>
          <w:rFonts w:eastAsia="仿宋" w:hAnsi="仿宋"/>
          <w:color w:val="000000" w:themeColor="text1"/>
          <w:sz w:val="32"/>
          <w:szCs w:val="32"/>
        </w:rPr>
        <w:t>临床试验的整体管理情况、临床研究单位选择、临床主要研究人员简介等基本情况介绍。</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2 \* GB3 </w:instrText>
      </w:r>
      <w:r>
        <w:rPr>
          <w:rFonts w:eastAsia="仿宋"/>
          <w:color w:val="000000" w:themeColor="text1"/>
          <w:sz w:val="32"/>
          <w:szCs w:val="32"/>
        </w:rPr>
        <w:fldChar w:fldCharType="separate"/>
      </w:r>
      <w:r w:rsidR="00806EEC">
        <w:rPr>
          <w:rFonts w:eastAsia="仿宋" w:hAnsi="仿宋"/>
          <w:color w:val="000000" w:themeColor="text1"/>
          <w:sz w:val="32"/>
          <w:szCs w:val="32"/>
        </w:rPr>
        <w:t>②</w:t>
      </w:r>
      <w:r>
        <w:rPr>
          <w:rFonts w:eastAsia="仿宋"/>
          <w:color w:val="000000" w:themeColor="text1"/>
          <w:sz w:val="32"/>
          <w:szCs w:val="32"/>
        </w:rPr>
        <w:fldChar w:fldCharType="end"/>
      </w:r>
      <w:r w:rsidR="00806EEC">
        <w:rPr>
          <w:rFonts w:eastAsia="仿宋" w:hAnsi="仿宋"/>
          <w:color w:val="000000" w:themeColor="text1"/>
          <w:sz w:val="32"/>
          <w:szCs w:val="32"/>
        </w:rPr>
        <w:t>病例纳入</w:t>
      </w:r>
      <w:r w:rsidR="00806EEC">
        <w:rPr>
          <w:rFonts w:eastAsia="仿宋"/>
          <w:color w:val="000000" w:themeColor="text1"/>
          <w:sz w:val="32"/>
          <w:szCs w:val="32"/>
        </w:rPr>
        <w:t>/</w:t>
      </w:r>
      <w:r w:rsidR="00806EEC">
        <w:rPr>
          <w:rFonts w:eastAsia="仿宋" w:hAnsi="仿宋"/>
          <w:color w:val="000000" w:themeColor="text1"/>
          <w:sz w:val="32"/>
          <w:szCs w:val="32"/>
        </w:rPr>
        <w:t>排除标准、不同人群的预期选择例数及标准。</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3 \* GB3 </w:instrText>
      </w:r>
      <w:r>
        <w:rPr>
          <w:rFonts w:eastAsia="仿宋"/>
          <w:color w:val="000000" w:themeColor="text1"/>
          <w:sz w:val="32"/>
          <w:szCs w:val="32"/>
        </w:rPr>
        <w:fldChar w:fldCharType="separate"/>
      </w:r>
      <w:r w:rsidR="00806EEC">
        <w:rPr>
          <w:rFonts w:eastAsia="仿宋" w:hAnsi="仿宋"/>
          <w:color w:val="000000" w:themeColor="text1"/>
          <w:sz w:val="32"/>
          <w:szCs w:val="32"/>
        </w:rPr>
        <w:t>③</w:t>
      </w:r>
      <w:r>
        <w:rPr>
          <w:rFonts w:eastAsia="仿宋"/>
          <w:color w:val="000000" w:themeColor="text1"/>
          <w:sz w:val="32"/>
          <w:szCs w:val="32"/>
        </w:rPr>
        <w:fldChar w:fldCharType="end"/>
      </w:r>
      <w:r w:rsidR="00806EEC">
        <w:rPr>
          <w:rFonts w:eastAsia="仿宋" w:hAnsi="仿宋"/>
          <w:color w:val="000000" w:themeColor="text1"/>
          <w:sz w:val="32"/>
          <w:szCs w:val="32"/>
        </w:rPr>
        <w:t>样本类型，样本的收集、处理及保存等。</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lastRenderedPageBreak/>
        <w:fldChar w:fldCharType="begin"/>
      </w:r>
      <w:r w:rsidR="00806EEC">
        <w:rPr>
          <w:rFonts w:eastAsia="仿宋"/>
          <w:color w:val="000000" w:themeColor="text1"/>
          <w:sz w:val="32"/>
          <w:szCs w:val="32"/>
        </w:rPr>
        <w:instrText xml:space="preserve"> = 4 \* GB3 </w:instrText>
      </w:r>
      <w:r>
        <w:rPr>
          <w:rFonts w:eastAsia="仿宋"/>
          <w:color w:val="000000" w:themeColor="text1"/>
          <w:sz w:val="32"/>
          <w:szCs w:val="32"/>
        </w:rPr>
        <w:fldChar w:fldCharType="separate"/>
      </w:r>
      <w:r w:rsidR="00806EEC">
        <w:rPr>
          <w:rFonts w:eastAsia="仿宋" w:hAnsi="仿宋"/>
          <w:color w:val="000000" w:themeColor="text1"/>
          <w:sz w:val="32"/>
          <w:szCs w:val="32"/>
        </w:rPr>
        <w:t>④</w:t>
      </w:r>
      <w:r>
        <w:rPr>
          <w:rFonts w:eastAsia="仿宋"/>
          <w:color w:val="000000" w:themeColor="text1"/>
          <w:sz w:val="32"/>
          <w:szCs w:val="32"/>
        </w:rPr>
        <w:fldChar w:fldCharType="end"/>
      </w:r>
      <w:r w:rsidR="00806EEC">
        <w:rPr>
          <w:rFonts w:eastAsia="仿宋" w:hAnsi="仿宋"/>
          <w:color w:val="000000" w:themeColor="text1"/>
          <w:sz w:val="32"/>
          <w:szCs w:val="32"/>
        </w:rPr>
        <w:t>统计学方法、统计软件、评价统计结果的标准。</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w:t>
      </w:r>
      <w:r>
        <w:rPr>
          <w:rFonts w:eastAsia="仿宋"/>
          <w:color w:val="000000" w:themeColor="text1"/>
          <w:sz w:val="32"/>
          <w:szCs w:val="32"/>
        </w:rPr>
        <w:t>2</w:t>
      </w:r>
      <w:r>
        <w:rPr>
          <w:rFonts w:eastAsia="仿宋" w:hAnsi="仿宋"/>
          <w:color w:val="000000" w:themeColor="text1"/>
          <w:sz w:val="32"/>
          <w:szCs w:val="32"/>
        </w:rPr>
        <w:t>）具体的临床试验情况</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1 \* GB3 </w:instrText>
      </w:r>
      <w:r>
        <w:rPr>
          <w:rFonts w:eastAsia="仿宋"/>
          <w:color w:val="000000" w:themeColor="text1"/>
          <w:sz w:val="32"/>
          <w:szCs w:val="32"/>
        </w:rPr>
        <w:fldChar w:fldCharType="separate"/>
      </w:r>
      <w:r w:rsidR="00806EEC">
        <w:rPr>
          <w:rFonts w:eastAsia="仿宋" w:hAnsi="仿宋"/>
          <w:color w:val="000000" w:themeColor="text1"/>
          <w:sz w:val="32"/>
          <w:szCs w:val="32"/>
        </w:rPr>
        <w:t>①</w:t>
      </w:r>
      <w:r>
        <w:rPr>
          <w:rFonts w:eastAsia="仿宋"/>
          <w:color w:val="000000" w:themeColor="text1"/>
          <w:sz w:val="32"/>
          <w:szCs w:val="32"/>
        </w:rPr>
        <w:fldChar w:fldCharType="end"/>
      </w:r>
      <w:r w:rsidR="00806EEC">
        <w:rPr>
          <w:rFonts w:eastAsia="仿宋" w:hAnsi="仿宋"/>
          <w:color w:val="000000" w:themeColor="text1"/>
          <w:sz w:val="32"/>
          <w:szCs w:val="32"/>
        </w:rPr>
        <w:t>考核试剂和</w:t>
      </w:r>
      <w:proofErr w:type="gramStart"/>
      <w:r w:rsidR="00806EEC">
        <w:rPr>
          <w:rFonts w:eastAsia="仿宋" w:hAnsi="仿宋"/>
          <w:color w:val="000000" w:themeColor="text1"/>
          <w:sz w:val="32"/>
          <w:szCs w:val="32"/>
        </w:rPr>
        <w:t>参比</w:t>
      </w:r>
      <w:proofErr w:type="gramEnd"/>
      <w:r w:rsidR="00806EEC">
        <w:rPr>
          <w:rFonts w:eastAsia="仿宋" w:hAnsi="仿宋"/>
          <w:color w:val="000000" w:themeColor="text1"/>
          <w:sz w:val="32"/>
          <w:szCs w:val="32"/>
        </w:rPr>
        <w:t>试剂的名称、批号、有效期及所用机型等信息；</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2 \* GB3 </w:instrText>
      </w:r>
      <w:r>
        <w:rPr>
          <w:rFonts w:eastAsia="仿宋"/>
          <w:color w:val="000000" w:themeColor="text1"/>
          <w:sz w:val="32"/>
          <w:szCs w:val="32"/>
        </w:rPr>
        <w:fldChar w:fldCharType="separate"/>
      </w:r>
      <w:r w:rsidR="00806EEC">
        <w:rPr>
          <w:rFonts w:eastAsia="仿宋" w:hAnsi="仿宋"/>
          <w:color w:val="000000" w:themeColor="text1"/>
          <w:sz w:val="32"/>
          <w:szCs w:val="32"/>
        </w:rPr>
        <w:t>②</w:t>
      </w:r>
      <w:r>
        <w:rPr>
          <w:rFonts w:eastAsia="仿宋"/>
          <w:color w:val="000000" w:themeColor="text1"/>
          <w:sz w:val="32"/>
          <w:szCs w:val="32"/>
        </w:rPr>
        <w:fldChar w:fldCharType="end"/>
      </w:r>
      <w:r w:rsidR="00806EEC">
        <w:rPr>
          <w:rFonts w:eastAsia="仿宋" w:hAnsi="仿宋"/>
          <w:color w:val="000000" w:themeColor="text1"/>
          <w:sz w:val="32"/>
          <w:szCs w:val="32"/>
        </w:rPr>
        <w:t>对各研究单位的病例数、人群分布情况进行总合，建议以列表或图示方式给出具体例数及百分比。</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3 \* GB3 </w:instrText>
      </w:r>
      <w:r>
        <w:rPr>
          <w:rFonts w:eastAsia="仿宋"/>
          <w:color w:val="000000" w:themeColor="text1"/>
          <w:sz w:val="32"/>
          <w:szCs w:val="32"/>
        </w:rPr>
        <w:fldChar w:fldCharType="separate"/>
      </w:r>
      <w:r w:rsidR="00806EEC">
        <w:rPr>
          <w:rFonts w:eastAsia="仿宋" w:hAnsi="仿宋"/>
          <w:color w:val="000000" w:themeColor="text1"/>
          <w:sz w:val="32"/>
          <w:szCs w:val="32"/>
        </w:rPr>
        <w:t>③</w:t>
      </w:r>
      <w:r>
        <w:rPr>
          <w:rFonts w:eastAsia="仿宋"/>
          <w:color w:val="000000" w:themeColor="text1"/>
          <w:sz w:val="32"/>
          <w:szCs w:val="32"/>
        </w:rPr>
        <w:fldChar w:fldCharType="end"/>
      </w:r>
      <w:r w:rsidR="00806EEC">
        <w:rPr>
          <w:rFonts w:eastAsia="仿宋" w:hAnsi="仿宋"/>
          <w:color w:val="000000" w:themeColor="text1"/>
          <w:sz w:val="32"/>
          <w:szCs w:val="32"/>
        </w:rPr>
        <w:t>质量控制，试验人员培训、仪器日常维护、仪器校准、质</w:t>
      </w:r>
      <w:proofErr w:type="gramStart"/>
      <w:r w:rsidR="00806EEC">
        <w:rPr>
          <w:rFonts w:eastAsia="仿宋" w:hAnsi="仿宋"/>
          <w:color w:val="000000" w:themeColor="text1"/>
          <w:sz w:val="32"/>
          <w:szCs w:val="32"/>
        </w:rPr>
        <w:t>控品运行</w:t>
      </w:r>
      <w:proofErr w:type="gramEnd"/>
      <w:r w:rsidR="00806EEC">
        <w:rPr>
          <w:rFonts w:eastAsia="仿宋" w:hAnsi="仿宋"/>
          <w:color w:val="000000" w:themeColor="text1"/>
          <w:sz w:val="32"/>
          <w:szCs w:val="32"/>
        </w:rPr>
        <w:t>情况，对检测精密度、</w:t>
      </w:r>
      <w:proofErr w:type="gramStart"/>
      <w:r w:rsidR="00806EEC">
        <w:rPr>
          <w:rFonts w:eastAsia="仿宋" w:hAnsi="仿宋"/>
          <w:color w:val="000000" w:themeColor="text1"/>
          <w:sz w:val="32"/>
          <w:szCs w:val="32"/>
        </w:rPr>
        <w:t>质控品回收</w:t>
      </w:r>
      <w:proofErr w:type="gramEnd"/>
      <w:r w:rsidR="00806EEC">
        <w:rPr>
          <w:rFonts w:eastAsia="仿宋" w:hAnsi="仿宋"/>
          <w:color w:val="000000" w:themeColor="text1"/>
          <w:sz w:val="32"/>
          <w:szCs w:val="32"/>
        </w:rPr>
        <w:t>（或测量值）、抽查结果评估。</w:t>
      </w:r>
    </w:p>
    <w:p w:rsidR="00990962" w:rsidRDefault="008B3922">
      <w:pPr>
        <w:spacing w:line="520" w:lineRule="exact"/>
        <w:ind w:firstLineChars="200" w:firstLine="640"/>
        <w:rPr>
          <w:rFonts w:eastAsia="仿宋"/>
          <w:color w:val="000000" w:themeColor="text1"/>
          <w:spacing w:val="8"/>
          <w:sz w:val="32"/>
          <w:szCs w:val="32"/>
        </w:rPr>
      </w:pPr>
      <w:r>
        <w:rPr>
          <w:rFonts w:eastAsia="仿宋"/>
          <w:color w:val="000000" w:themeColor="text1"/>
          <w:spacing w:val="8"/>
          <w:sz w:val="32"/>
          <w:szCs w:val="32"/>
        </w:rPr>
        <w:fldChar w:fldCharType="begin"/>
      </w:r>
      <w:r w:rsidR="00806EEC">
        <w:rPr>
          <w:rFonts w:eastAsia="仿宋"/>
          <w:color w:val="000000" w:themeColor="text1"/>
          <w:spacing w:val="8"/>
          <w:sz w:val="32"/>
          <w:szCs w:val="32"/>
        </w:rPr>
        <w:instrText xml:space="preserve"> = 4 \* GB3 </w:instrText>
      </w:r>
      <w:r>
        <w:rPr>
          <w:rFonts w:eastAsia="仿宋"/>
          <w:color w:val="000000" w:themeColor="text1"/>
          <w:spacing w:val="8"/>
          <w:sz w:val="32"/>
          <w:szCs w:val="32"/>
        </w:rPr>
        <w:fldChar w:fldCharType="separate"/>
      </w:r>
      <w:r w:rsidR="00806EEC">
        <w:rPr>
          <w:rFonts w:eastAsia="仿宋" w:hAnsi="仿宋"/>
          <w:color w:val="000000" w:themeColor="text1"/>
          <w:spacing w:val="8"/>
          <w:sz w:val="32"/>
          <w:szCs w:val="32"/>
        </w:rPr>
        <w:t>④</w:t>
      </w:r>
      <w:r>
        <w:rPr>
          <w:rFonts w:eastAsia="仿宋"/>
          <w:color w:val="000000" w:themeColor="text1"/>
          <w:spacing w:val="8"/>
          <w:sz w:val="32"/>
          <w:szCs w:val="32"/>
        </w:rPr>
        <w:fldChar w:fldCharType="end"/>
      </w:r>
      <w:r w:rsidR="00806EEC">
        <w:rPr>
          <w:rFonts w:eastAsia="仿宋" w:hAnsi="仿宋"/>
          <w:color w:val="000000" w:themeColor="text1"/>
          <w:spacing w:val="8"/>
          <w:sz w:val="32"/>
          <w:szCs w:val="32"/>
        </w:rPr>
        <w:t>具体试验过程，样本检测、数据收集、样本长期保存等。</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w:t>
      </w:r>
      <w:r>
        <w:rPr>
          <w:rFonts w:eastAsia="仿宋"/>
          <w:color w:val="000000" w:themeColor="text1"/>
          <w:sz w:val="32"/>
          <w:szCs w:val="32"/>
        </w:rPr>
        <w:t>3</w:t>
      </w:r>
      <w:r>
        <w:rPr>
          <w:rFonts w:eastAsia="仿宋" w:hAnsi="仿宋"/>
          <w:color w:val="000000" w:themeColor="text1"/>
          <w:sz w:val="32"/>
          <w:szCs w:val="32"/>
        </w:rPr>
        <w:t>）统计学分析</w:t>
      </w:r>
    </w:p>
    <w:p w:rsidR="00990962" w:rsidRDefault="008B3922">
      <w:pPr>
        <w:spacing w:line="520" w:lineRule="exact"/>
        <w:ind w:firstLineChars="200" w:firstLine="640"/>
        <w:rPr>
          <w:rFonts w:eastAsia="仿宋" w:hAnsi="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1 \* GB3 </w:instrText>
      </w:r>
      <w:r>
        <w:rPr>
          <w:rFonts w:eastAsia="仿宋"/>
          <w:color w:val="000000" w:themeColor="text1"/>
          <w:sz w:val="32"/>
          <w:szCs w:val="32"/>
        </w:rPr>
        <w:fldChar w:fldCharType="separate"/>
      </w:r>
      <w:r w:rsidR="00806EEC">
        <w:rPr>
          <w:rFonts w:eastAsia="仿宋" w:hAnsi="仿宋"/>
          <w:color w:val="000000" w:themeColor="text1"/>
          <w:sz w:val="32"/>
          <w:szCs w:val="32"/>
        </w:rPr>
        <w:t>①</w:t>
      </w:r>
      <w:r>
        <w:rPr>
          <w:rFonts w:eastAsia="仿宋"/>
          <w:color w:val="000000" w:themeColor="text1"/>
          <w:sz w:val="32"/>
          <w:szCs w:val="32"/>
        </w:rPr>
        <w:fldChar w:fldCharType="end"/>
      </w:r>
      <w:r w:rsidR="00806EEC">
        <w:rPr>
          <w:rFonts w:eastAsia="仿宋" w:hAnsi="仿宋"/>
          <w:color w:val="000000" w:themeColor="text1"/>
          <w:sz w:val="32"/>
          <w:szCs w:val="32"/>
        </w:rPr>
        <w:t>数据预处理、对异常值或离群值的处理、研究过程中是否涉及对方案的修改。</w:t>
      </w:r>
      <w:r w:rsidR="00806EEC">
        <w:rPr>
          <w:rFonts w:eastAsia="仿宋" w:hAnsi="仿宋" w:hint="eastAsia"/>
          <w:color w:val="000000" w:themeColor="text1"/>
          <w:sz w:val="32"/>
          <w:szCs w:val="32"/>
        </w:rPr>
        <w:t>对数据进行初步的统计描述，将计算出的统计指标与统计表、统计图相结合，全面描述资料的数量特征及分布规律（反映分布特征，以便进行统计分析）。</w:t>
      </w:r>
    </w:p>
    <w:p w:rsidR="00990962" w:rsidRDefault="008B3922">
      <w:pPr>
        <w:spacing w:line="520" w:lineRule="exact"/>
        <w:ind w:firstLineChars="200" w:firstLine="640"/>
        <w:rPr>
          <w:rFonts w:eastAsia="仿宋"/>
          <w:color w:val="000000" w:themeColor="text1"/>
          <w:sz w:val="32"/>
          <w:szCs w:val="32"/>
        </w:rPr>
      </w:pPr>
      <w:r>
        <w:rPr>
          <w:rFonts w:eastAsia="仿宋"/>
          <w:color w:val="000000" w:themeColor="text1"/>
          <w:sz w:val="32"/>
          <w:szCs w:val="32"/>
        </w:rPr>
        <w:fldChar w:fldCharType="begin"/>
      </w:r>
      <w:r w:rsidR="00806EEC">
        <w:rPr>
          <w:rFonts w:eastAsia="仿宋"/>
          <w:color w:val="000000" w:themeColor="text1"/>
          <w:sz w:val="32"/>
          <w:szCs w:val="32"/>
        </w:rPr>
        <w:instrText xml:space="preserve"> = 2 \* GB3 </w:instrText>
      </w:r>
      <w:r>
        <w:rPr>
          <w:rFonts w:eastAsia="仿宋"/>
          <w:color w:val="000000" w:themeColor="text1"/>
          <w:sz w:val="32"/>
          <w:szCs w:val="32"/>
        </w:rPr>
        <w:fldChar w:fldCharType="separate"/>
      </w:r>
      <w:r w:rsidR="00806EEC">
        <w:rPr>
          <w:rFonts w:eastAsia="仿宋" w:hAnsi="仿宋"/>
          <w:color w:val="000000" w:themeColor="text1"/>
          <w:sz w:val="32"/>
          <w:szCs w:val="32"/>
        </w:rPr>
        <w:t>②</w:t>
      </w:r>
      <w:r>
        <w:rPr>
          <w:rFonts w:eastAsia="仿宋"/>
          <w:color w:val="000000" w:themeColor="text1"/>
          <w:sz w:val="32"/>
          <w:szCs w:val="32"/>
        </w:rPr>
        <w:fldChar w:fldCharType="end"/>
      </w:r>
      <w:r w:rsidR="00806EEC">
        <w:rPr>
          <w:rFonts w:eastAsia="仿宋" w:hAnsi="仿宋"/>
          <w:color w:val="000000" w:themeColor="text1"/>
          <w:sz w:val="32"/>
          <w:szCs w:val="32"/>
        </w:rPr>
        <w:t>定量值相关性</w:t>
      </w:r>
    </w:p>
    <w:p w:rsidR="00990962" w:rsidRDefault="00806EEC">
      <w:pPr>
        <w:spacing w:line="520" w:lineRule="exact"/>
        <w:ind w:firstLineChars="200" w:firstLine="640"/>
        <w:rPr>
          <w:rFonts w:eastAsia="仿宋" w:hAnsi="仿宋"/>
          <w:color w:val="000000" w:themeColor="text1"/>
          <w:sz w:val="32"/>
          <w:szCs w:val="32"/>
        </w:rPr>
      </w:pPr>
      <w:r>
        <w:rPr>
          <w:rFonts w:eastAsia="仿宋" w:hAnsi="仿宋"/>
          <w:color w:val="000000" w:themeColor="text1"/>
          <w:sz w:val="32"/>
          <w:szCs w:val="32"/>
        </w:rPr>
        <w:t>用回归分析验证两种试剂结果的相关性，以</w:t>
      </w:r>
      <w:r>
        <w:rPr>
          <w:rFonts w:eastAsia="仿宋"/>
          <w:color w:val="000000" w:themeColor="text1"/>
          <w:sz w:val="32"/>
          <w:szCs w:val="32"/>
        </w:rPr>
        <w:t>y=</w:t>
      </w:r>
      <w:proofErr w:type="spellStart"/>
      <w:r>
        <w:rPr>
          <w:rFonts w:eastAsia="仿宋"/>
          <w:color w:val="000000" w:themeColor="text1"/>
          <w:sz w:val="32"/>
          <w:szCs w:val="32"/>
        </w:rPr>
        <w:t>a+bx</w:t>
      </w:r>
      <w:proofErr w:type="spellEnd"/>
      <w:r>
        <w:rPr>
          <w:rFonts w:eastAsia="仿宋" w:hAnsi="仿宋"/>
          <w:color w:val="000000" w:themeColor="text1"/>
          <w:sz w:val="32"/>
          <w:szCs w:val="32"/>
        </w:rPr>
        <w:t>和</w:t>
      </w:r>
      <w:r>
        <w:rPr>
          <w:rFonts w:eastAsia="仿宋"/>
          <w:color w:val="000000" w:themeColor="text1"/>
          <w:sz w:val="32"/>
          <w:szCs w:val="32"/>
        </w:rPr>
        <w:t>R</w:t>
      </w:r>
      <w:r>
        <w:rPr>
          <w:rFonts w:eastAsia="仿宋"/>
          <w:color w:val="000000" w:themeColor="text1"/>
          <w:sz w:val="32"/>
          <w:szCs w:val="32"/>
          <w:vertAlign w:val="superscript"/>
        </w:rPr>
        <w:t>2</w:t>
      </w:r>
      <w:r>
        <w:rPr>
          <w:rFonts w:eastAsia="仿宋" w:hAnsi="仿宋"/>
          <w:color w:val="000000" w:themeColor="text1"/>
          <w:sz w:val="32"/>
          <w:szCs w:val="32"/>
        </w:rPr>
        <w:t>的形式给出回归分析的拟合方程，其中：</w:t>
      </w:r>
      <w:r>
        <w:rPr>
          <w:rFonts w:eastAsia="仿宋"/>
          <w:color w:val="000000" w:themeColor="text1"/>
          <w:sz w:val="32"/>
          <w:szCs w:val="32"/>
        </w:rPr>
        <w:t>y</w:t>
      </w:r>
      <w:r>
        <w:rPr>
          <w:rFonts w:eastAsia="仿宋" w:hAnsi="仿宋"/>
          <w:color w:val="000000" w:themeColor="text1"/>
          <w:sz w:val="32"/>
          <w:szCs w:val="32"/>
        </w:rPr>
        <w:t>是考核试剂结果，</w:t>
      </w:r>
      <w:r>
        <w:rPr>
          <w:rFonts w:eastAsia="仿宋"/>
          <w:color w:val="000000" w:themeColor="text1"/>
          <w:sz w:val="32"/>
          <w:szCs w:val="32"/>
        </w:rPr>
        <w:t>x</w:t>
      </w:r>
      <w:r>
        <w:rPr>
          <w:rFonts w:eastAsia="仿宋" w:hAnsi="仿宋"/>
          <w:color w:val="000000" w:themeColor="text1"/>
          <w:sz w:val="32"/>
          <w:szCs w:val="32"/>
        </w:rPr>
        <w:t>是参比试剂结果，</w:t>
      </w:r>
      <w:r>
        <w:rPr>
          <w:rFonts w:eastAsia="仿宋"/>
          <w:color w:val="000000" w:themeColor="text1"/>
          <w:sz w:val="32"/>
          <w:szCs w:val="32"/>
        </w:rPr>
        <w:t>b</w:t>
      </w:r>
      <w:r>
        <w:rPr>
          <w:rFonts w:eastAsia="仿宋" w:hAnsi="仿宋"/>
          <w:color w:val="000000" w:themeColor="text1"/>
          <w:sz w:val="32"/>
          <w:szCs w:val="32"/>
        </w:rPr>
        <w:t>是方程斜率，</w:t>
      </w:r>
      <w:r>
        <w:rPr>
          <w:rFonts w:eastAsia="仿宋"/>
          <w:color w:val="000000" w:themeColor="text1"/>
          <w:sz w:val="32"/>
          <w:szCs w:val="32"/>
        </w:rPr>
        <w:t>a</w:t>
      </w:r>
      <w:r>
        <w:rPr>
          <w:rFonts w:eastAsia="仿宋" w:hAnsi="仿宋"/>
          <w:color w:val="000000" w:themeColor="text1"/>
          <w:sz w:val="32"/>
          <w:szCs w:val="32"/>
        </w:rPr>
        <w:t>是</w:t>
      </w:r>
      <w:r>
        <w:rPr>
          <w:rFonts w:eastAsia="仿宋"/>
          <w:color w:val="000000" w:themeColor="text1"/>
          <w:sz w:val="32"/>
          <w:szCs w:val="32"/>
        </w:rPr>
        <w:t>y</w:t>
      </w:r>
      <w:r>
        <w:rPr>
          <w:rFonts w:eastAsia="仿宋" w:hAnsi="仿宋"/>
          <w:color w:val="000000" w:themeColor="text1"/>
          <w:sz w:val="32"/>
          <w:szCs w:val="32"/>
        </w:rPr>
        <w:t>轴截距，</w:t>
      </w:r>
      <w:r>
        <w:rPr>
          <w:rFonts w:eastAsia="仿宋"/>
          <w:color w:val="000000" w:themeColor="text1"/>
          <w:sz w:val="32"/>
          <w:szCs w:val="32"/>
        </w:rPr>
        <w:t>R</w:t>
      </w:r>
      <w:r>
        <w:rPr>
          <w:rFonts w:eastAsia="仿宋"/>
          <w:color w:val="000000" w:themeColor="text1"/>
          <w:sz w:val="32"/>
          <w:szCs w:val="32"/>
          <w:vertAlign w:val="superscript"/>
        </w:rPr>
        <w:t>2</w:t>
      </w:r>
      <w:r>
        <w:rPr>
          <w:rFonts w:eastAsia="仿宋" w:hAnsi="仿宋"/>
          <w:color w:val="000000" w:themeColor="text1"/>
          <w:sz w:val="32"/>
          <w:szCs w:val="32"/>
        </w:rPr>
        <w:t>是判定系数（通常要求</w:t>
      </w:r>
      <w:r>
        <w:rPr>
          <w:rFonts w:eastAsia="仿宋"/>
          <w:color w:val="000000" w:themeColor="text1"/>
          <w:sz w:val="32"/>
          <w:szCs w:val="32"/>
        </w:rPr>
        <w:t>R</w:t>
      </w:r>
      <w:r>
        <w:rPr>
          <w:rFonts w:eastAsia="仿宋"/>
          <w:color w:val="000000" w:themeColor="text1"/>
          <w:sz w:val="32"/>
          <w:szCs w:val="32"/>
          <w:vertAlign w:val="superscript"/>
        </w:rPr>
        <w:t>2</w:t>
      </w:r>
      <w:r>
        <w:rPr>
          <w:rFonts w:eastAsia="仿宋"/>
          <w:color w:val="000000" w:themeColor="text1"/>
          <w:sz w:val="32"/>
          <w:szCs w:val="32"/>
        </w:rPr>
        <w:t>≥0.95</w:t>
      </w:r>
      <w:r>
        <w:rPr>
          <w:rFonts w:eastAsia="仿宋" w:hAnsi="仿宋"/>
          <w:color w:val="000000" w:themeColor="text1"/>
          <w:sz w:val="32"/>
          <w:szCs w:val="32"/>
        </w:rPr>
        <w:t>）</w:t>
      </w:r>
      <w:r>
        <w:rPr>
          <w:rFonts w:eastAsia="仿宋" w:hAnsi="仿宋" w:hint="eastAsia"/>
          <w:color w:val="000000" w:themeColor="text1"/>
          <w:sz w:val="32"/>
          <w:szCs w:val="32"/>
        </w:rPr>
        <w:t>，同时应给出</w:t>
      </w:r>
      <w:r>
        <w:rPr>
          <w:rFonts w:eastAsia="仿宋" w:hAnsi="仿宋"/>
          <w:color w:val="000000" w:themeColor="text1"/>
          <w:sz w:val="32"/>
          <w:szCs w:val="32"/>
        </w:rPr>
        <w:t>b</w:t>
      </w:r>
      <w:r>
        <w:rPr>
          <w:rFonts w:eastAsia="仿宋" w:hAnsi="仿宋" w:hint="eastAsia"/>
          <w:color w:val="000000" w:themeColor="text1"/>
          <w:sz w:val="32"/>
          <w:szCs w:val="32"/>
        </w:rPr>
        <w:t>的</w:t>
      </w:r>
      <w:r>
        <w:rPr>
          <w:rFonts w:eastAsia="仿宋" w:hAnsi="仿宋"/>
          <w:color w:val="000000" w:themeColor="text1"/>
          <w:sz w:val="32"/>
          <w:szCs w:val="32"/>
        </w:rPr>
        <w:t>95%</w:t>
      </w:r>
      <w:r>
        <w:rPr>
          <w:rFonts w:eastAsia="仿宋" w:hAnsi="仿宋" w:hint="eastAsia"/>
          <w:color w:val="000000" w:themeColor="text1"/>
          <w:sz w:val="32"/>
          <w:szCs w:val="32"/>
        </w:rPr>
        <w:t>（或</w:t>
      </w:r>
      <w:r>
        <w:rPr>
          <w:rFonts w:eastAsia="仿宋" w:hAnsi="仿宋"/>
          <w:color w:val="000000" w:themeColor="text1"/>
          <w:sz w:val="32"/>
          <w:szCs w:val="32"/>
        </w:rPr>
        <w:t>99%</w:t>
      </w:r>
      <w:r>
        <w:rPr>
          <w:rFonts w:eastAsia="仿宋" w:hAnsi="仿宋" w:hint="eastAsia"/>
          <w:color w:val="000000" w:themeColor="text1"/>
          <w:sz w:val="32"/>
          <w:szCs w:val="32"/>
        </w:rPr>
        <w:t>）置信区间，定量值结果应无明显统计学差异。</w:t>
      </w:r>
    </w:p>
    <w:p w:rsidR="008B3922" w:rsidRDefault="008B3922">
      <w:pPr>
        <w:widowControl/>
        <w:ind w:firstLineChars="200" w:firstLine="640"/>
        <w:jc w:val="left"/>
        <w:rPr>
          <w:rFonts w:ascii="宋体" w:hAnsi="宋体" w:cs="宋体"/>
          <w:color w:val="000000" w:themeColor="text1"/>
          <w:kern w:val="0"/>
          <w:sz w:val="24"/>
        </w:rPr>
      </w:pPr>
      <w:r>
        <w:rPr>
          <w:rFonts w:eastAsia="仿宋"/>
          <w:color w:val="000000" w:themeColor="text1"/>
          <w:sz w:val="32"/>
          <w:szCs w:val="32"/>
        </w:rPr>
        <w:fldChar w:fldCharType="begin"/>
      </w:r>
      <w:r w:rsidR="00806EEC">
        <w:rPr>
          <w:rFonts w:eastAsia="仿宋"/>
          <w:color w:val="000000" w:themeColor="text1"/>
          <w:sz w:val="32"/>
          <w:szCs w:val="32"/>
        </w:rPr>
        <w:instrText xml:space="preserve"> = 3 \* GB3 </w:instrText>
      </w:r>
      <w:r>
        <w:rPr>
          <w:rFonts w:eastAsia="仿宋"/>
          <w:color w:val="000000" w:themeColor="text1"/>
          <w:sz w:val="32"/>
          <w:szCs w:val="32"/>
        </w:rPr>
        <w:fldChar w:fldCharType="separate"/>
      </w:r>
      <w:r w:rsidR="00806EEC">
        <w:rPr>
          <w:rFonts w:eastAsia="仿宋" w:hAnsi="仿宋"/>
          <w:color w:val="000000" w:themeColor="text1"/>
          <w:sz w:val="32"/>
          <w:szCs w:val="32"/>
        </w:rPr>
        <w:t>③</w:t>
      </w:r>
      <w:r>
        <w:rPr>
          <w:rFonts w:eastAsia="仿宋"/>
          <w:color w:val="000000" w:themeColor="text1"/>
          <w:sz w:val="32"/>
          <w:szCs w:val="32"/>
        </w:rPr>
        <w:fldChar w:fldCharType="end"/>
      </w:r>
      <w:r w:rsidR="00806EEC">
        <w:rPr>
          <w:rFonts w:eastAsia="仿宋" w:hint="eastAsia"/>
          <w:color w:val="000000" w:themeColor="text1"/>
          <w:sz w:val="32"/>
          <w:szCs w:val="32"/>
        </w:rPr>
        <w:t>t</w:t>
      </w:r>
      <w:r w:rsidR="00806EEC">
        <w:rPr>
          <w:rFonts w:eastAsia="仿宋" w:hint="eastAsia"/>
          <w:color w:val="000000" w:themeColor="text1"/>
          <w:sz w:val="32"/>
          <w:szCs w:val="32"/>
        </w:rPr>
        <w:t>检验</w:t>
      </w:r>
    </w:p>
    <w:p w:rsidR="00990962" w:rsidRDefault="00806EEC">
      <w:pPr>
        <w:widowControl/>
        <w:ind w:firstLineChars="200" w:firstLine="640"/>
        <w:jc w:val="left"/>
        <w:rPr>
          <w:rFonts w:eastAsia="仿宋" w:hAnsi="仿宋"/>
          <w:color w:val="000000" w:themeColor="text1"/>
          <w:sz w:val="32"/>
          <w:szCs w:val="32"/>
        </w:rPr>
      </w:pPr>
      <w:r>
        <w:rPr>
          <w:rFonts w:eastAsia="仿宋" w:hAnsi="仿宋"/>
          <w:color w:val="000000" w:themeColor="text1"/>
          <w:sz w:val="32"/>
          <w:szCs w:val="32"/>
        </w:rPr>
        <w:t>用配对</w:t>
      </w:r>
      <w:r>
        <w:rPr>
          <w:rFonts w:eastAsia="仿宋" w:hAnsi="仿宋"/>
          <w:color w:val="000000" w:themeColor="text1"/>
          <w:sz w:val="32"/>
          <w:szCs w:val="32"/>
        </w:rPr>
        <w:t>t</w:t>
      </w:r>
      <w:r>
        <w:rPr>
          <w:rFonts w:eastAsia="仿宋" w:hAnsi="仿宋"/>
          <w:color w:val="000000" w:themeColor="text1"/>
          <w:sz w:val="32"/>
          <w:szCs w:val="32"/>
        </w:rPr>
        <w:t>检验验证两种试剂测试结果有无差异，将同一受试对象前后不同试剂检测得到的数值配成对子</w:t>
      </w:r>
      <w:r>
        <w:rPr>
          <w:rFonts w:eastAsia="仿宋" w:hAnsi="仿宋" w:hint="eastAsia"/>
          <w:color w:val="000000" w:themeColor="text1"/>
          <w:sz w:val="32"/>
          <w:szCs w:val="32"/>
        </w:rPr>
        <w:t>，</w:t>
      </w:r>
      <w:r>
        <w:rPr>
          <w:rFonts w:eastAsia="仿宋" w:hAnsi="仿宋"/>
          <w:color w:val="000000" w:themeColor="text1"/>
          <w:sz w:val="32"/>
          <w:szCs w:val="32"/>
        </w:rPr>
        <w:t>如果配对设计的两</w:t>
      </w:r>
      <w:r>
        <w:rPr>
          <w:rFonts w:eastAsia="仿宋" w:hAnsi="仿宋"/>
          <w:color w:val="000000" w:themeColor="text1"/>
          <w:sz w:val="32"/>
          <w:szCs w:val="32"/>
        </w:rPr>
        <w:lastRenderedPageBreak/>
        <w:t>个总体无差异，则配对的每组数据的差值</w:t>
      </w:r>
      <w:r>
        <w:rPr>
          <w:rFonts w:eastAsia="仿宋" w:hAnsi="仿宋"/>
          <w:color w:val="000000" w:themeColor="text1"/>
          <w:sz w:val="32"/>
          <w:szCs w:val="32"/>
        </w:rPr>
        <w:t>d</w:t>
      </w:r>
      <w:r>
        <w:rPr>
          <w:rFonts w:eastAsia="仿宋" w:hAnsi="仿宋"/>
          <w:color w:val="000000" w:themeColor="text1"/>
          <w:sz w:val="32"/>
          <w:szCs w:val="32"/>
        </w:rPr>
        <w:t>的总体均数</w:t>
      </w:r>
      <w:r>
        <w:rPr>
          <w:rFonts w:ascii="仿宋" w:eastAsia="仿宋" w:hAnsi="仿宋" w:hint="eastAsia"/>
          <w:i/>
          <w:color w:val="000000" w:themeColor="text1"/>
          <w:sz w:val="32"/>
          <w:szCs w:val="32"/>
        </w:rPr>
        <w:t>μ</w:t>
      </w:r>
      <w:r>
        <w:rPr>
          <w:rFonts w:eastAsia="仿宋" w:hAnsi="仿宋"/>
          <w:i/>
          <w:color w:val="000000" w:themeColor="text1"/>
          <w:sz w:val="32"/>
          <w:szCs w:val="32"/>
        </w:rPr>
        <w:t>d</w:t>
      </w:r>
      <w:r>
        <w:rPr>
          <w:rFonts w:eastAsia="仿宋" w:hAnsi="仿宋"/>
          <w:color w:val="000000" w:themeColor="text1"/>
          <w:sz w:val="32"/>
          <w:szCs w:val="32"/>
        </w:rPr>
        <w:t>=0</w:t>
      </w:r>
      <w:r>
        <w:rPr>
          <w:rFonts w:eastAsia="仿宋" w:hAnsi="仿宋"/>
          <w:color w:val="000000" w:themeColor="text1"/>
          <w:sz w:val="32"/>
          <w:szCs w:val="32"/>
        </w:rPr>
        <w:t>，代入公式 </w:t>
      </w:r>
      <w:r>
        <w:rPr>
          <w:rFonts w:eastAsia="仿宋" w:hAnsi="仿宋"/>
          <w:noProof/>
          <w:color w:val="000000" w:themeColor="text1"/>
          <w:sz w:val="32"/>
          <w:szCs w:val="32"/>
        </w:rPr>
        <w:drawing>
          <wp:inline distT="0" distB="0" distL="0" distR="0">
            <wp:extent cx="1323975" cy="466725"/>
            <wp:effectExtent l="0" t="0" r="9525" b="0"/>
            <wp:docPr id="1" name="图片 1" descr="9G4NG2{ZHYHY_FG3AOZ{%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G4NG2{ZHYHY_FG3AOZ{%FH"/>
                    <pic:cNvPicPr>
                      <a:picLocks noChangeAspect="1" noChangeArrowheads="1"/>
                    </pic:cNvPicPr>
                  </pic:nvPicPr>
                  <pic:blipFill>
                    <a:blip r:embed="rId9" cstate="print"/>
                    <a:srcRect/>
                    <a:stretch>
                      <a:fillRect/>
                    </a:stretch>
                  </pic:blipFill>
                  <pic:spPr>
                    <a:xfrm>
                      <a:off x="0" y="0"/>
                      <a:ext cx="1323975" cy="466725"/>
                    </a:xfrm>
                    <a:prstGeom prst="rect">
                      <a:avLst/>
                    </a:prstGeom>
                    <a:noFill/>
                    <a:ln w="9525">
                      <a:noFill/>
                      <a:miter lim="800000"/>
                      <a:headEnd/>
                      <a:tailEnd/>
                    </a:ln>
                  </pic:spPr>
                </pic:pic>
              </a:graphicData>
            </a:graphic>
          </wp:inline>
        </w:drawing>
      </w:r>
      <w:r>
        <w:rPr>
          <w:rFonts w:eastAsia="仿宋" w:hAnsi="仿宋"/>
          <w:color w:val="000000" w:themeColor="text1"/>
          <w:sz w:val="32"/>
          <w:szCs w:val="32"/>
        </w:rPr>
        <w:t>，</w:t>
      </w:r>
      <w:r>
        <w:rPr>
          <w:rFonts w:eastAsia="仿宋" w:hAnsi="仿宋"/>
          <w:color w:val="000000" w:themeColor="text1"/>
          <w:sz w:val="32"/>
          <w:szCs w:val="32"/>
        </w:rPr>
        <w:t>n=n-1</w:t>
      </w:r>
      <w:r>
        <w:rPr>
          <w:rFonts w:eastAsia="仿宋" w:hAnsi="仿宋"/>
          <w:color w:val="000000" w:themeColor="text1"/>
          <w:sz w:val="32"/>
          <w:szCs w:val="32"/>
        </w:rPr>
        <w:t>，确定概率</w:t>
      </w:r>
      <w:r>
        <w:rPr>
          <w:rFonts w:eastAsia="仿宋" w:hAnsi="仿宋"/>
          <w:i/>
          <w:color w:val="000000" w:themeColor="text1"/>
          <w:sz w:val="32"/>
          <w:szCs w:val="32"/>
        </w:rPr>
        <w:t>P</w:t>
      </w:r>
      <w:r>
        <w:rPr>
          <w:rFonts w:eastAsia="仿宋" w:hAnsi="仿宋"/>
          <w:color w:val="000000" w:themeColor="text1"/>
          <w:sz w:val="32"/>
          <w:szCs w:val="32"/>
        </w:rPr>
        <w:t>并</w:t>
      </w:r>
      <w:proofErr w:type="gramStart"/>
      <w:r>
        <w:rPr>
          <w:rFonts w:eastAsia="仿宋" w:hAnsi="仿宋"/>
          <w:color w:val="000000" w:themeColor="text1"/>
          <w:sz w:val="32"/>
          <w:szCs w:val="32"/>
        </w:rPr>
        <w:t>作出</w:t>
      </w:r>
      <w:proofErr w:type="gramEnd"/>
      <w:r>
        <w:rPr>
          <w:rFonts w:eastAsia="仿宋" w:hAnsi="仿宋"/>
          <w:color w:val="000000" w:themeColor="text1"/>
          <w:sz w:val="32"/>
          <w:szCs w:val="32"/>
        </w:rPr>
        <w:t>统计推断（通常要求</w:t>
      </w:r>
      <w:r>
        <w:rPr>
          <w:rFonts w:eastAsia="仿宋" w:hint="eastAsia"/>
          <w:color w:val="000000" w:themeColor="text1"/>
          <w:sz w:val="32"/>
          <w:szCs w:val="32"/>
        </w:rPr>
        <w:t>P&gt;0.05</w:t>
      </w:r>
      <w:r>
        <w:rPr>
          <w:rFonts w:eastAsia="仿宋" w:hAnsi="仿宋"/>
          <w:color w:val="000000" w:themeColor="text1"/>
          <w:sz w:val="32"/>
          <w:szCs w:val="32"/>
        </w:rPr>
        <w:t>）。若样本不符合正态分布，则可采用相应的非参</w:t>
      </w:r>
      <w:r>
        <w:rPr>
          <w:rFonts w:eastAsia="仿宋" w:hAnsi="仿宋" w:hint="eastAsia"/>
          <w:color w:val="000000" w:themeColor="text1"/>
          <w:sz w:val="32"/>
          <w:szCs w:val="32"/>
        </w:rPr>
        <w:t>数</w:t>
      </w:r>
      <w:r>
        <w:rPr>
          <w:rFonts w:eastAsia="仿宋" w:hAnsi="仿宋"/>
          <w:color w:val="000000" w:themeColor="text1"/>
          <w:sz w:val="32"/>
          <w:szCs w:val="32"/>
        </w:rPr>
        <w:t>检验进行统计分析。</w:t>
      </w:r>
      <w:r>
        <w:rPr>
          <w:rFonts w:eastAsia="仿宋" w:hAnsi="仿宋"/>
          <w:color w:val="000000" w:themeColor="text1"/>
          <w:sz w:val="32"/>
          <w:szCs w:val="32"/>
        </w:rPr>
        <w:t xml:space="preserve"> </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w:t>
      </w:r>
      <w:r>
        <w:rPr>
          <w:rFonts w:eastAsia="仿宋"/>
          <w:color w:val="000000" w:themeColor="text1"/>
          <w:sz w:val="32"/>
          <w:szCs w:val="32"/>
        </w:rPr>
        <w:t>4</w:t>
      </w:r>
      <w:r>
        <w:rPr>
          <w:rFonts w:eastAsia="仿宋" w:hAnsi="仿宋"/>
          <w:color w:val="000000" w:themeColor="text1"/>
          <w:sz w:val="32"/>
          <w:szCs w:val="32"/>
        </w:rPr>
        <w:t>）讨论和结论</w:t>
      </w:r>
    </w:p>
    <w:p w:rsidR="00990962" w:rsidRDefault="00806EEC">
      <w:pPr>
        <w:spacing w:line="520" w:lineRule="exact"/>
        <w:ind w:firstLineChars="200" w:firstLine="640"/>
        <w:rPr>
          <w:rFonts w:eastAsia="仿宋"/>
          <w:color w:val="000000" w:themeColor="text1"/>
          <w:sz w:val="32"/>
          <w:szCs w:val="32"/>
        </w:rPr>
      </w:pPr>
      <w:r>
        <w:rPr>
          <w:rFonts w:eastAsia="仿宋" w:hAnsi="仿宋"/>
          <w:color w:val="000000" w:themeColor="text1"/>
          <w:sz w:val="32"/>
          <w:szCs w:val="32"/>
        </w:rPr>
        <w:t>对总体结果进行总结性描述并简要分析试验结果，</w:t>
      </w:r>
      <w:r>
        <w:rPr>
          <w:rFonts w:ascii="仿宋" w:eastAsia="仿宋" w:hAnsi="仿宋" w:hint="eastAsia"/>
          <w:color w:val="000000" w:themeColor="text1"/>
          <w:sz w:val="32"/>
          <w:szCs w:val="32"/>
        </w:rPr>
        <w:t>明确</w:t>
      </w:r>
      <w:r>
        <w:rPr>
          <w:rFonts w:ascii="仿宋" w:eastAsia="仿宋" w:hAnsi="仿宋"/>
          <w:color w:val="000000" w:themeColor="text1"/>
          <w:sz w:val="32"/>
          <w:szCs w:val="32"/>
        </w:rPr>
        <w:t>本次临床</w:t>
      </w:r>
      <w:r>
        <w:rPr>
          <w:rFonts w:ascii="仿宋" w:eastAsia="仿宋" w:hAnsi="仿宋" w:hint="eastAsia"/>
          <w:color w:val="000000" w:themeColor="text1"/>
          <w:sz w:val="32"/>
          <w:szCs w:val="32"/>
        </w:rPr>
        <w:t>试验评价是否有需</w:t>
      </w:r>
      <w:r>
        <w:rPr>
          <w:rFonts w:ascii="仿宋" w:eastAsia="仿宋" w:hAnsi="仿宋"/>
          <w:color w:val="000000" w:themeColor="text1"/>
          <w:sz w:val="32"/>
          <w:szCs w:val="32"/>
        </w:rPr>
        <w:t>特别说明</w:t>
      </w:r>
      <w:r>
        <w:rPr>
          <w:rFonts w:ascii="仿宋" w:eastAsia="仿宋" w:hAnsi="仿宋" w:hint="eastAsia"/>
          <w:color w:val="000000" w:themeColor="text1"/>
          <w:sz w:val="32"/>
          <w:szCs w:val="32"/>
        </w:rPr>
        <w:t>的事项</w:t>
      </w:r>
      <w:r>
        <w:rPr>
          <w:rFonts w:ascii="仿宋" w:eastAsia="仿宋" w:hAnsi="仿宋"/>
          <w:color w:val="000000" w:themeColor="text1"/>
          <w:sz w:val="32"/>
          <w:szCs w:val="32"/>
        </w:rPr>
        <w:t>，最</w:t>
      </w:r>
      <w:r>
        <w:rPr>
          <w:rFonts w:eastAsia="仿宋" w:hAnsi="仿宋"/>
          <w:color w:val="000000" w:themeColor="text1"/>
          <w:sz w:val="32"/>
          <w:szCs w:val="32"/>
        </w:rPr>
        <w:t>后得出临床试验结论。</w:t>
      </w:r>
    </w:p>
    <w:p w:rsidR="00990962" w:rsidRDefault="00806EEC">
      <w:pPr>
        <w:spacing w:line="520" w:lineRule="exact"/>
        <w:ind w:firstLineChars="200" w:firstLine="640"/>
        <w:rPr>
          <w:rFonts w:eastAsia="楷体"/>
          <w:color w:val="000000" w:themeColor="text1"/>
          <w:sz w:val="32"/>
          <w:szCs w:val="32"/>
        </w:rPr>
      </w:pPr>
      <w:r>
        <w:rPr>
          <w:rFonts w:eastAsia="楷体" w:hAnsi="楷体"/>
          <w:color w:val="000000" w:themeColor="text1"/>
          <w:sz w:val="32"/>
          <w:szCs w:val="32"/>
        </w:rPr>
        <w:t>（八）产品风险分析资料</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申请人应考虑产品寿命周期的各个环节，从预期用途、可能的使用错误、与安全性有关的特征、已知及可预见的危害等方面的判定以及对患者风险的估计进行风险分析，应符合</w:t>
      </w:r>
      <w:r>
        <w:rPr>
          <w:rFonts w:ascii="Times New Roman" w:eastAsia="仿宋" w:hAnsi="Times New Roman"/>
          <w:color w:val="000000" w:themeColor="text1"/>
          <w:sz w:val="32"/>
          <w:szCs w:val="32"/>
        </w:rPr>
        <w:t>YY/T 0316</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2008</w:t>
      </w:r>
      <w:r>
        <w:rPr>
          <w:rFonts w:ascii="Times New Roman" w:eastAsia="仿宋" w:hAnsi="仿宋"/>
          <w:color w:val="000000" w:themeColor="text1"/>
          <w:sz w:val="32"/>
          <w:szCs w:val="32"/>
        </w:rPr>
        <w:t>《医疗器械风险管理对医疗器械的应用》的要求。</w:t>
      </w:r>
    </w:p>
    <w:p w:rsidR="00990962" w:rsidRDefault="00806EEC">
      <w:pPr>
        <w:spacing w:line="520" w:lineRule="exact"/>
        <w:ind w:firstLineChars="200" w:firstLine="640"/>
        <w:rPr>
          <w:rFonts w:eastAsia="楷体_GB2312"/>
          <w:color w:val="000000" w:themeColor="text1"/>
          <w:sz w:val="32"/>
          <w:szCs w:val="32"/>
        </w:rPr>
      </w:pPr>
      <w:r>
        <w:rPr>
          <w:rFonts w:eastAsia="楷体_GB2312"/>
          <w:color w:val="000000" w:themeColor="text1"/>
          <w:sz w:val="32"/>
          <w:szCs w:val="32"/>
        </w:rPr>
        <w:t>（九）产品技术要求</w:t>
      </w:r>
    </w:p>
    <w:p w:rsidR="00990962" w:rsidRDefault="00806EEC">
      <w:pPr>
        <w:pStyle w:val="a8"/>
        <w:adjustRightInd w:val="0"/>
        <w:snapToGrid w:val="0"/>
        <w:spacing w:line="520" w:lineRule="exact"/>
        <w:ind w:firstLine="624"/>
        <w:rPr>
          <w:rFonts w:ascii="仿宋" w:eastAsia="仿宋" w:hAnsi="仿宋"/>
          <w:color w:val="000000" w:themeColor="text1"/>
          <w:sz w:val="32"/>
          <w:szCs w:val="32"/>
        </w:rPr>
      </w:pPr>
      <w:r>
        <w:rPr>
          <w:rFonts w:ascii="Times New Roman" w:eastAsia="仿宋" w:hAnsi="仿宋"/>
          <w:color w:val="000000" w:themeColor="text1"/>
          <w:sz w:val="32"/>
          <w:szCs w:val="32"/>
        </w:rPr>
        <w:t>产品技术要求应符合《体外诊断试剂注册管理办法》和《关于发布医疗器械产品技术要求编写指导原则的通告》（国家食品药品监督管理总局通告</w:t>
      </w:r>
      <w:r>
        <w:rPr>
          <w:rFonts w:ascii="Times New Roman" w:eastAsia="仿宋" w:hAnsi="Times New Roman"/>
          <w:color w:val="000000" w:themeColor="text1"/>
          <w:sz w:val="32"/>
          <w:szCs w:val="32"/>
        </w:rPr>
        <w:t>2014</w:t>
      </w:r>
      <w:r>
        <w:rPr>
          <w:rFonts w:ascii="Times New Roman" w:eastAsia="仿宋" w:hAnsi="仿宋"/>
          <w:color w:val="000000" w:themeColor="text1"/>
          <w:sz w:val="32"/>
          <w:szCs w:val="32"/>
        </w:rPr>
        <w:t>年第</w:t>
      </w:r>
      <w:r>
        <w:rPr>
          <w:rFonts w:ascii="Times New Roman" w:eastAsia="仿宋" w:hAnsi="Times New Roman"/>
          <w:color w:val="000000" w:themeColor="text1"/>
          <w:sz w:val="32"/>
          <w:szCs w:val="32"/>
        </w:rPr>
        <w:t>9</w:t>
      </w:r>
      <w:r>
        <w:rPr>
          <w:rFonts w:ascii="Times New Roman" w:eastAsia="仿宋" w:hAnsi="仿宋"/>
          <w:color w:val="000000" w:themeColor="text1"/>
          <w:sz w:val="32"/>
          <w:szCs w:val="32"/>
        </w:rPr>
        <w:t>号）的相关规定。</w:t>
      </w:r>
      <w:r>
        <w:rPr>
          <w:rFonts w:ascii="仿宋" w:eastAsia="仿宋" w:hAnsi="仿宋" w:hint="eastAsia"/>
          <w:color w:val="000000" w:themeColor="text1"/>
          <w:sz w:val="32"/>
          <w:szCs w:val="32"/>
        </w:rPr>
        <w:t>该产品已有</w:t>
      </w:r>
      <w:r>
        <w:rPr>
          <w:rFonts w:ascii="仿宋" w:eastAsia="仿宋" w:hAnsi="仿宋"/>
          <w:color w:val="000000" w:themeColor="text1"/>
          <w:sz w:val="32"/>
          <w:szCs w:val="32"/>
        </w:rPr>
        <w:t>行业标准发布，产品技术要求不得低于其相关要求。</w:t>
      </w:r>
    </w:p>
    <w:p w:rsidR="00990962" w:rsidRDefault="00990962">
      <w:pPr>
        <w:pStyle w:val="a8"/>
        <w:adjustRightInd w:val="0"/>
        <w:snapToGrid w:val="0"/>
        <w:spacing w:line="520" w:lineRule="exact"/>
        <w:ind w:firstLine="624"/>
        <w:rPr>
          <w:rFonts w:ascii="Times New Roman" w:eastAsia="仿宋" w:hAnsi="Times New Roman"/>
          <w:color w:val="000000" w:themeColor="text1"/>
          <w:sz w:val="32"/>
          <w:szCs w:val="32"/>
        </w:rPr>
      </w:pP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1.</w:t>
      </w:r>
      <w:r>
        <w:rPr>
          <w:rFonts w:ascii="Times New Roman" w:eastAsia="仿宋" w:hAnsi="仿宋"/>
          <w:color w:val="000000" w:themeColor="text1"/>
          <w:sz w:val="32"/>
          <w:szCs w:val="32"/>
        </w:rPr>
        <w:t>产品型号</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规格及其划分说明</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1</w:t>
      </w:r>
      <w:r>
        <w:rPr>
          <w:rFonts w:ascii="Times New Roman" w:eastAsia="仿宋" w:hAnsi="仿宋"/>
          <w:color w:val="000000" w:themeColor="text1"/>
          <w:sz w:val="32"/>
          <w:szCs w:val="32"/>
        </w:rPr>
        <w:t>）主要组成</w:t>
      </w:r>
    </w:p>
    <w:p w:rsidR="00990962" w:rsidRDefault="00806EEC">
      <w:pPr>
        <w:spacing w:line="520" w:lineRule="exact"/>
        <w:ind w:firstLineChars="200" w:firstLine="640"/>
        <w:rPr>
          <w:rFonts w:ascii="宋体" w:hAnsi="宋体"/>
          <w:color w:val="000000" w:themeColor="text1"/>
          <w:sz w:val="32"/>
          <w:szCs w:val="32"/>
        </w:rPr>
      </w:pPr>
      <w:r>
        <w:rPr>
          <w:rFonts w:eastAsia="仿宋" w:hAnsi="仿宋"/>
          <w:color w:val="000000" w:themeColor="text1"/>
          <w:sz w:val="32"/>
          <w:szCs w:val="32"/>
        </w:rPr>
        <w:t>明确试剂（盒）中每个组分的主要组成成分</w:t>
      </w:r>
      <w:r>
        <w:rPr>
          <w:rFonts w:eastAsia="仿宋" w:hAnsi="仿宋" w:hint="eastAsia"/>
          <w:color w:val="000000" w:themeColor="text1"/>
          <w:sz w:val="32"/>
          <w:szCs w:val="32"/>
        </w:rPr>
        <w:t>及浓度</w:t>
      </w:r>
      <w:r>
        <w:rPr>
          <w:rFonts w:eastAsia="仿宋" w:hAnsi="仿宋"/>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2</w:t>
      </w:r>
      <w:r>
        <w:rPr>
          <w:rFonts w:ascii="Times New Roman" w:eastAsia="仿宋" w:hAnsi="仿宋"/>
          <w:color w:val="000000" w:themeColor="text1"/>
          <w:sz w:val="32"/>
          <w:szCs w:val="32"/>
        </w:rPr>
        <w:t>）型号</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规格及其划分说明</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明确产品型号</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规格及其划分说明。</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lastRenderedPageBreak/>
        <w:t>对同一注册单元中存在多种型号和</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或规格的产品，应明确各型号及各规格之间的所有区别</w:t>
      </w:r>
      <w:r w:rsidR="00D426F3">
        <w:rPr>
          <w:rFonts w:ascii="Times New Roman" w:eastAsia="仿宋" w:hAnsi="仿宋" w:hint="eastAsia"/>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2.</w:t>
      </w:r>
      <w:r>
        <w:rPr>
          <w:rFonts w:ascii="Times New Roman" w:eastAsia="仿宋" w:hAnsi="仿宋"/>
          <w:color w:val="000000" w:themeColor="text1"/>
          <w:sz w:val="32"/>
          <w:szCs w:val="32"/>
        </w:rPr>
        <w:t>性能指标：</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1</w:t>
      </w:r>
      <w:r>
        <w:rPr>
          <w:rFonts w:ascii="Times New Roman" w:eastAsia="仿宋" w:hAnsi="仿宋"/>
          <w:color w:val="000000" w:themeColor="text1"/>
          <w:sz w:val="32"/>
          <w:szCs w:val="32"/>
        </w:rPr>
        <w:t>）外观</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正常视力目测检查，应符合生产企业规定的正常外观要求。</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2</w:t>
      </w:r>
      <w:r>
        <w:rPr>
          <w:rFonts w:ascii="Times New Roman" w:eastAsia="仿宋" w:hAnsi="仿宋"/>
          <w:color w:val="000000" w:themeColor="text1"/>
          <w:sz w:val="32"/>
          <w:szCs w:val="32"/>
        </w:rPr>
        <w:t>）装量</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使用通用量具测量，液体试剂的装量应不少于标示值。</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）试剂空白吸光度</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用试剂（盒）测试空白样品，记录试剂（盒）规定参数下的吸光度值，应小于</w:t>
      </w:r>
      <w:r>
        <w:rPr>
          <w:rFonts w:ascii="Times New Roman" w:eastAsia="仿宋" w:hAnsi="Times New Roman"/>
          <w:color w:val="000000" w:themeColor="text1"/>
          <w:sz w:val="32"/>
          <w:szCs w:val="32"/>
        </w:rPr>
        <w:t>0.05</w:t>
      </w:r>
      <w:r>
        <w:rPr>
          <w:rFonts w:ascii="Times New Roman" w:eastAsia="仿宋" w:hAnsi="仿宋"/>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4</w:t>
      </w:r>
      <w:r>
        <w:rPr>
          <w:rFonts w:ascii="Times New Roman" w:eastAsia="仿宋" w:hAnsi="仿宋"/>
          <w:color w:val="000000" w:themeColor="text1"/>
          <w:sz w:val="32"/>
          <w:szCs w:val="32"/>
        </w:rPr>
        <w:t>）分析灵敏度</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用试剂（盒）测试已知浓度在</w:t>
      </w:r>
      <w:r>
        <w:rPr>
          <w:rFonts w:ascii="Times New Roman" w:eastAsia="仿宋" w:hAnsi="Times New Roman"/>
          <w:color w:val="000000" w:themeColor="text1"/>
          <w:sz w:val="32"/>
          <w:szCs w:val="32"/>
        </w:rPr>
        <w:t>1.00mmol/L~2.00mmol/L</w:t>
      </w:r>
      <w:r>
        <w:rPr>
          <w:rFonts w:ascii="Times New Roman" w:eastAsia="仿宋" w:hAnsi="仿宋"/>
          <w:color w:val="000000" w:themeColor="text1"/>
          <w:sz w:val="32"/>
          <w:szCs w:val="32"/>
        </w:rPr>
        <w:t>的样本，记录在试剂（盒）规定参数下的吸光度差值，换算为</w:t>
      </w:r>
      <w:r>
        <w:rPr>
          <w:rFonts w:ascii="Times New Roman" w:eastAsia="仿宋" w:hAnsi="Times New Roman"/>
          <w:color w:val="000000" w:themeColor="text1"/>
          <w:sz w:val="32"/>
          <w:szCs w:val="32"/>
        </w:rPr>
        <w:t>1.00mmol/L</w:t>
      </w:r>
      <w:r>
        <w:rPr>
          <w:rFonts w:ascii="Times New Roman" w:eastAsia="仿宋" w:hAnsi="仿宋"/>
          <w:color w:val="000000" w:themeColor="text1"/>
          <w:sz w:val="32"/>
          <w:szCs w:val="32"/>
        </w:rPr>
        <w:t>的吸光度差值，两点终点法吸光度差值（</w:t>
      </w:r>
      <w:r>
        <w:rPr>
          <w:rFonts w:ascii="Times New Roman" w:eastAsia="仿宋" w:hAnsi="Times New Roman"/>
          <w:color w:val="000000" w:themeColor="text1"/>
          <w:sz w:val="32"/>
          <w:szCs w:val="32"/>
        </w:rPr>
        <w:t>ΔA</w:t>
      </w:r>
      <w:r>
        <w:rPr>
          <w:rFonts w:ascii="Times New Roman" w:eastAsia="仿宋" w:hAnsi="仿宋"/>
          <w:color w:val="000000" w:themeColor="text1"/>
          <w:sz w:val="32"/>
          <w:szCs w:val="32"/>
        </w:rPr>
        <w:t>）应大于</w:t>
      </w:r>
      <w:r>
        <w:rPr>
          <w:rFonts w:ascii="Times New Roman" w:eastAsia="仿宋" w:hAnsi="Times New Roman"/>
          <w:color w:val="000000" w:themeColor="text1"/>
          <w:sz w:val="32"/>
          <w:szCs w:val="32"/>
        </w:rPr>
        <w:t>0.04</w:t>
      </w:r>
      <w:r>
        <w:rPr>
          <w:rFonts w:ascii="Times New Roman" w:eastAsia="仿宋" w:hAnsi="仿宋"/>
          <w:color w:val="000000" w:themeColor="text1"/>
          <w:sz w:val="32"/>
          <w:szCs w:val="32"/>
        </w:rPr>
        <w:t>；两点速率法吸光度差值（</w:t>
      </w:r>
      <w:r>
        <w:rPr>
          <w:rFonts w:ascii="Times New Roman" w:eastAsia="仿宋" w:hAnsi="Times New Roman"/>
          <w:color w:val="000000" w:themeColor="text1"/>
          <w:sz w:val="32"/>
          <w:szCs w:val="32"/>
        </w:rPr>
        <w:t>ΔA</w:t>
      </w:r>
      <w:r>
        <w:rPr>
          <w:rFonts w:ascii="Times New Roman" w:eastAsia="仿宋" w:hAnsi="仿宋"/>
          <w:color w:val="000000" w:themeColor="text1"/>
          <w:sz w:val="32"/>
          <w:szCs w:val="32"/>
        </w:rPr>
        <w:t>）应大于</w:t>
      </w:r>
      <w:r>
        <w:rPr>
          <w:rFonts w:ascii="Times New Roman" w:eastAsia="仿宋" w:hAnsi="Times New Roman"/>
          <w:color w:val="000000" w:themeColor="text1"/>
          <w:sz w:val="32"/>
          <w:szCs w:val="32"/>
        </w:rPr>
        <w:t>0.01</w:t>
      </w:r>
      <w:r>
        <w:rPr>
          <w:rFonts w:ascii="Times New Roman" w:eastAsia="仿宋" w:hAnsi="仿宋"/>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5</w:t>
      </w:r>
      <w:r>
        <w:rPr>
          <w:rFonts w:ascii="Times New Roman" w:eastAsia="仿宋" w:hAnsi="仿宋"/>
          <w:color w:val="000000" w:themeColor="text1"/>
          <w:sz w:val="32"/>
          <w:szCs w:val="32"/>
        </w:rPr>
        <w:t>）线性区间</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用接近线性区间下限的低浓度样本稀释接近线性区间上限的高浓度样本，混合成至少</w:t>
      </w:r>
      <w:r>
        <w:rPr>
          <w:rFonts w:ascii="Times New Roman" w:eastAsia="仿宋" w:hAnsi="Times New Roman"/>
          <w:color w:val="000000" w:themeColor="text1"/>
          <w:sz w:val="32"/>
          <w:szCs w:val="32"/>
        </w:rPr>
        <w:t>6</w:t>
      </w:r>
      <w:r>
        <w:rPr>
          <w:rFonts w:ascii="Times New Roman" w:eastAsia="仿宋" w:hAnsi="仿宋"/>
          <w:color w:val="000000" w:themeColor="text1"/>
          <w:sz w:val="32"/>
          <w:szCs w:val="32"/>
        </w:rPr>
        <w:t>个稀释浓度（</w:t>
      </w:r>
      <w:r>
        <w:rPr>
          <w:rFonts w:ascii="Times New Roman" w:eastAsia="仿宋" w:hAnsi="Times New Roman"/>
          <w:color w:val="000000" w:themeColor="text1"/>
          <w:sz w:val="32"/>
          <w:szCs w:val="32"/>
        </w:rPr>
        <w:t>xi</w:t>
      </w:r>
      <w:r>
        <w:rPr>
          <w:rFonts w:ascii="Times New Roman" w:eastAsia="仿宋" w:hAnsi="仿宋"/>
          <w:color w:val="000000" w:themeColor="text1"/>
          <w:sz w:val="32"/>
          <w:szCs w:val="32"/>
        </w:rPr>
        <w:t>）。每个稀释浓度测试</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次，分别求出检测结果的均值（</w:t>
      </w:r>
      <w:proofErr w:type="spellStart"/>
      <w:r>
        <w:rPr>
          <w:rFonts w:ascii="Times New Roman" w:eastAsia="仿宋" w:hAnsi="Times New Roman"/>
          <w:color w:val="000000" w:themeColor="text1"/>
          <w:sz w:val="32"/>
          <w:szCs w:val="32"/>
        </w:rPr>
        <w:t>yi</w:t>
      </w:r>
      <w:proofErr w:type="spellEnd"/>
      <w:r>
        <w:rPr>
          <w:rFonts w:ascii="Times New Roman" w:eastAsia="仿宋" w:hAnsi="仿宋"/>
          <w:color w:val="000000" w:themeColor="text1"/>
          <w:sz w:val="32"/>
          <w:szCs w:val="32"/>
        </w:rPr>
        <w:t>）。以稀释浓度（</w:t>
      </w:r>
      <w:r>
        <w:rPr>
          <w:rFonts w:ascii="Times New Roman" w:eastAsia="仿宋" w:hAnsi="Times New Roman"/>
          <w:color w:val="000000" w:themeColor="text1"/>
          <w:sz w:val="32"/>
          <w:szCs w:val="32"/>
        </w:rPr>
        <w:t>xi</w:t>
      </w:r>
      <w:r>
        <w:rPr>
          <w:rFonts w:ascii="Times New Roman" w:eastAsia="仿宋" w:hAnsi="仿宋"/>
          <w:color w:val="000000" w:themeColor="text1"/>
          <w:sz w:val="32"/>
          <w:szCs w:val="32"/>
        </w:rPr>
        <w:t>）为自变量，以检测结果均值（</w:t>
      </w:r>
      <w:proofErr w:type="spellStart"/>
      <w:r>
        <w:rPr>
          <w:rFonts w:ascii="Times New Roman" w:eastAsia="仿宋" w:hAnsi="Times New Roman"/>
          <w:color w:val="000000" w:themeColor="text1"/>
          <w:sz w:val="32"/>
          <w:szCs w:val="32"/>
        </w:rPr>
        <w:t>yi</w:t>
      </w:r>
      <w:proofErr w:type="spellEnd"/>
      <w:r>
        <w:rPr>
          <w:rFonts w:ascii="Times New Roman" w:eastAsia="仿宋" w:hAnsi="仿宋"/>
          <w:color w:val="000000" w:themeColor="text1"/>
          <w:sz w:val="32"/>
          <w:szCs w:val="32"/>
        </w:rPr>
        <w:t>）为因变量求出线性回归方程。按公式（</w:t>
      </w:r>
      <w:r>
        <w:rPr>
          <w:rFonts w:ascii="Times New Roman" w:eastAsia="仿宋" w:hAnsi="Times New Roman"/>
          <w:color w:val="000000" w:themeColor="text1"/>
          <w:sz w:val="32"/>
          <w:szCs w:val="32"/>
        </w:rPr>
        <w:t>1</w:t>
      </w:r>
      <w:r>
        <w:rPr>
          <w:rFonts w:ascii="Times New Roman" w:eastAsia="仿宋" w:hAnsi="仿宋"/>
          <w:color w:val="000000" w:themeColor="text1"/>
          <w:sz w:val="32"/>
          <w:szCs w:val="32"/>
        </w:rPr>
        <w:t>）计算线性回归的相关系数（</w:t>
      </w:r>
      <w:r>
        <w:rPr>
          <w:rFonts w:ascii="Times New Roman" w:eastAsia="仿宋" w:hAnsi="Times New Roman"/>
          <w:color w:val="000000" w:themeColor="text1"/>
          <w:sz w:val="32"/>
          <w:szCs w:val="32"/>
        </w:rPr>
        <w:t>r</w:t>
      </w:r>
      <w:r>
        <w:rPr>
          <w:rFonts w:ascii="Times New Roman" w:eastAsia="仿宋" w:hAnsi="仿宋"/>
          <w:color w:val="000000" w:themeColor="text1"/>
          <w:sz w:val="32"/>
          <w:szCs w:val="32"/>
        </w:rPr>
        <w:t>）。</w:t>
      </w:r>
    </w:p>
    <w:p w:rsidR="00990962" w:rsidRDefault="008B3922">
      <w:pPr>
        <w:pStyle w:val="a8"/>
        <w:adjustRightInd w:val="0"/>
        <w:snapToGrid w:val="0"/>
        <w:spacing w:line="520" w:lineRule="exact"/>
        <w:ind w:firstLine="640"/>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6.45pt;margin-top:22.4pt;width:165pt;height:45pt;z-index:251660288">
            <v:imagedata r:id="rId10" o:title=""/>
            <w10:wrap type="square"/>
          </v:shape>
          <o:OLEObject Type="Embed" ProgID="Equation.3" ShapeID="_x0000_s1040" DrawAspect="Content" ObjectID="_1537525933" r:id="rId11"/>
        </w:pict>
      </w:r>
    </w:p>
    <w:p w:rsidR="00990962" w:rsidRDefault="00806EEC">
      <w:pPr>
        <w:pStyle w:val="a8"/>
        <w:adjustRightInd w:val="0"/>
        <w:snapToGrid w:val="0"/>
        <w:spacing w:line="520" w:lineRule="exact"/>
        <w:ind w:firstLineChars="62" w:firstLine="193"/>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1</w:t>
      </w:r>
      <w:r>
        <w:rPr>
          <w:rFonts w:ascii="Times New Roman" w:eastAsia="仿宋" w:hAnsi="仿宋"/>
          <w:color w:val="000000" w:themeColor="text1"/>
          <w:sz w:val="32"/>
          <w:szCs w:val="32"/>
        </w:rPr>
        <w:t>）</w:t>
      </w:r>
    </w:p>
    <w:p w:rsidR="00990962" w:rsidRDefault="00990962">
      <w:pPr>
        <w:pStyle w:val="a8"/>
        <w:adjustRightInd w:val="0"/>
        <w:snapToGrid w:val="0"/>
        <w:spacing w:line="520" w:lineRule="exact"/>
        <w:ind w:firstLine="624"/>
        <w:rPr>
          <w:rFonts w:ascii="Times New Roman" w:eastAsia="仿宋" w:hAnsi="仿宋"/>
          <w:color w:val="000000" w:themeColor="text1"/>
          <w:sz w:val="32"/>
          <w:szCs w:val="32"/>
        </w:rPr>
      </w:pP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lastRenderedPageBreak/>
        <w:t>稀释浓度（</w:t>
      </w:r>
      <w:r>
        <w:rPr>
          <w:rFonts w:ascii="Times New Roman" w:eastAsia="仿宋" w:hAnsi="Times New Roman"/>
          <w:color w:val="000000" w:themeColor="text1"/>
          <w:sz w:val="32"/>
          <w:szCs w:val="32"/>
        </w:rPr>
        <w:t>x</w:t>
      </w:r>
      <w:r>
        <w:rPr>
          <w:rFonts w:ascii="Times New Roman" w:eastAsia="仿宋" w:hAnsi="Times New Roman"/>
          <w:color w:val="000000" w:themeColor="text1"/>
          <w:sz w:val="32"/>
          <w:szCs w:val="32"/>
          <w:vertAlign w:val="subscript"/>
        </w:rPr>
        <w:t>i</w:t>
      </w:r>
      <w:r>
        <w:rPr>
          <w:rFonts w:ascii="Times New Roman" w:eastAsia="仿宋" w:hAnsi="仿宋"/>
          <w:color w:val="000000" w:themeColor="text1"/>
          <w:sz w:val="32"/>
          <w:szCs w:val="32"/>
        </w:rPr>
        <w:t>）代入求出线性回归方程，计算</w:t>
      </w:r>
      <w:proofErr w:type="spellStart"/>
      <w:r>
        <w:rPr>
          <w:rFonts w:ascii="Times New Roman" w:eastAsia="仿宋" w:hAnsi="Times New Roman"/>
          <w:color w:val="000000" w:themeColor="text1"/>
          <w:sz w:val="32"/>
          <w:szCs w:val="32"/>
        </w:rPr>
        <w:t>y</w:t>
      </w:r>
      <w:r>
        <w:rPr>
          <w:rFonts w:ascii="Times New Roman" w:eastAsia="仿宋" w:hAnsi="Times New Roman"/>
          <w:color w:val="000000" w:themeColor="text1"/>
          <w:sz w:val="32"/>
          <w:szCs w:val="32"/>
          <w:vertAlign w:val="subscript"/>
        </w:rPr>
        <w:t>i</w:t>
      </w:r>
      <w:proofErr w:type="spellEnd"/>
      <w:r>
        <w:rPr>
          <w:rFonts w:ascii="Times New Roman" w:eastAsia="仿宋" w:hAnsi="仿宋"/>
          <w:color w:val="000000" w:themeColor="text1"/>
          <w:sz w:val="32"/>
          <w:szCs w:val="32"/>
        </w:rPr>
        <w:t>的估计值及</w:t>
      </w:r>
      <w:proofErr w:type="spellStart"/>
      <w:r>
        <w:rPr>
          <w:rFonts w:ascii="Times New Roman" w:eastAsia="仿宋" w:hAnsi="Times New Roman"/>
          <w:color w:val="000000" w:themeColor="text1"/>
          <w:sz w:val="32"/>
          <w:szCs w:val="32"/>
        </w:rPr>
        <w:t>y</w:t>
      </w:r>
      <w:r>
        <w:rPr>
          <w:rFonts w:ascii="Times New Roman" w:eastAsia="仿宋" w:hAnsi="Times New Roman"/>
          <w:color w:val="000000" w:themeColor="text1"/>
          <w:sz w:val="32"/>
          <w:szCs w:val="32"/>
          <w:vertAlign w:val="subscript"/>
        </w:rPr>
        <w:t>i</w:t>
      </w:r>
      <w:proofErr w:type="spellEnd"/>
      <w:r>
        <w:rPr>
          <w:rFonts w:ascii="Times New Roman" w:eastAsia="仿宋" w:hAnsi="仿宋"/>
          <w:color w:val="000000" w:themeColor="text1"/>
          <w:sz w:val="32"/>
          <w:szCs w:val="32"/>
        </w:rPr>
        <w:t>与估计值的相对偏差或绝对偏差。</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试剂线性</w:t>
      </w:r>
      <w:r>
        <w:rPr>
          <w:rFonts w:ascii="Times New Roman" w:eastAsia="仿宋" w:hAnsi="仿宋" w:hint="eastAsia"/>
          <w:color w:val="000000" w:themeColor="text1"/>
          <w:sz w:val="32"/>
          <w:szCs w:val="32"/>
        </w:rPr>
        <w:t>应至少包括</w:t>
      </w:r>
      <w:r>
        <w:rPr>
          <w:rFonts w:ascii="Times New Roman" w:eastAsia="仿宋" w:hAnsi="Times New Roman"/>
          <w:color w:val="000000" w:themeColor="text1"/>
          <w:sz w:val="32"/>
          <w:szCs w:val="32"/>
        </w:rPr>
        <w:t xml:space="preserve">[0.20,2.50] </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区间</w:t>
      </w:r>
      <w:r>
        <w:rPr>
          <w:rFonts w:ascii="Times New Roman" w:eastAsia="仿宋" w:hAnsi="仿宋" w:hint="eastAsia"/>
          <w:color w:val="000000" w:themeColor="text1"/>
          <w:sz w:val="32"/>
          <w:szCs w:val="32"/>
        </w:rPr>
        <w:t>，</w:t>
      </w:r>
      <w:r>
        <w:rPr>
          <w:rFonts w:ascii="Times New Roman" w:eastAsia="仿宋" w:hAnsi="仿宋"/>
          <w:color w:val="000000" w:themeColor="text1"/>
          <w:sz w:val="32"/>
          <w:szCs w:val="32"/>
        </w:rPr>
        <w:t>线性相关系数</w:t>
      </w:r>
      <w:r>
        <w:rPr>
          <w:rFonts w:ascii="Times New Roman" w:eastAsia="仿宋" w:hAnsi="Times New Roman"/>
          <w:color w:val="000000" w:themeColor="text1"/>
          <w:sz w:val="32"/>
          <w:szCs w:val="32"/>
        </w:rPr>
        <w:t>r</w:t>
      </w:r>
      <w:r>
        <w:rPr>
          <w:rFonts w:ascii="Times New Roman" w:eastAsia="仿宋" w:hAnsi="仿宋"/>
          <w:color w:val="000000" w:themeColor="text1"/>
          <w:sz w:val="32"/>
          <w:szCs w:val="32"/>
        </w:rPr>
        <w:t>应不小于</w:t>
      </w:r>
      <w:r>
        <w:rPr>
          <w:rFonts w:ascii="Times New Roman" w:eastAsia="仿宋" w:hAnsi="Times New Roman"/>
          <w:color w:val="000000" w:themeColor="text1"/>
          <w:sz w:val="32"/>
          <w:szCs w:val="32"/>
        </w:rPr>
        <w:t>0.995</w:t>
      </w:r>
      <w:r>
        <w:rPr>
          <w:rFonts w:ascii="Times New Roman" w:eastAsia="仿宋" w:hAnsi="仿宋" w:hint="eastAsia"/>
          <w:color w:val="000000" w:themeColor="text1"/>
          <w:sz w:val="32"/>
          <w:szCs w:val="32"/>
        </w:rPr>
        <w:t>，</w:t>
      </w:r>
      <w:r>
        <w:rPr>
          <w:rFonts w:ascii="Times New Roman" w:eastAsia="仿宋" w:hAnsi="仿宋"/>
          <w:color w:val="000000" w:themeColor="text1"/>
          <w:sz w:val="32"/>
          <w:szCs w:val="32"/>
        </w:rPr>
        <w:t>线性相对偏差应</w:t>
      </w:r>
      <w:r>
        <w:rPr>
          <w:rFonts w:ascii="Times New Roman" w:eastAsia="仿宋" w:hAnsi="仿宋" w:hint="eastAsia"/>
          <w:color w:val="000000" w:themeColor="text1"/>
          <w:sz w:val="32"/>
          <w:szCs w:val="32"/>
        </w:rPr>
        <w:t>在</w:t>
      </w:r>
      <w:r>
        <w:rPr>
          <w:rFonts w:ascii="Times New Roman" w:eastAsia="仿宋" w:hAnsi="Times New Roman"/>
          <w:color w:val="000000" w:themeColor="text1"/>
          <w:sz w:val="32"/>
          <w:szCs w:val="32"/>
        </w:rPr>
        <w:t>±10</w:t>
      </w:r>
      <w:r>
        <w:rPr>
          <w:rFonts w:ascii="Times New Roman" w:eastAsia="仿宋" w:hAnsi="仿宋"/>
          <w:color w:val="000000" w:themeColor="text1"/>
          <w:sz w:val="32"/>
          <w:szCs w:val="32"/>
        </w:rPr>
        <w:t>％</w:t>
      </w:r>
      <w:r>
        <w:rPr>
          <w:rFonts w:ascii="Times New Roman" w:eastAsia="仿宋" w:hAnsi="仿宋" w:hint="eastAsia"/>
          <w:color w:val="000000" w:themeColor="text1"/>
          <w:sz w:val="32"/>
          <w:szCs w:val="32"/>
        </w:rPr>
        <w:t>范围内。</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若将</w:t>
      </w:r>
      <w:r>
        <w:rPr>
          <w:rFonts w:ascii="Times New Roman" w:eastAsia="仿宋" w:hAnsi="Times New Roman"/>
          <w:color w:val="000000" w:themeColor="text1"/>
          <w:sz w:val="32"/>
          <w:szCs w:val="32"/>
        </w:rPr>
        <w:t xml:space="preserve">[0.20,2.50] </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分为两个区间</w:t>
      </w:r>
      <w:r>
        <w:rPr>
          <w:rFonts w:ascii="Times New Roman" w:eastAsia="仿宋" w:hAnsi="Times New Roman" w:hint="eastAsia"/>
          <w:color w:val="000000" w:themeColor="text1"/>
          <w:sz w:val="32"/>
          <w:szCs w:val="32"/>
        </w:rPr>
        <w:t>，则</w:t>
      </w:r>
      <w:r>
        <w:rPr>
          <w:rFonts w:ascii="Times New Roman" w:eastAsia="仿宋" w:hAnsi="Times New Roman"/>
          <w:color w:val="000000" w:themeColor="text1"/>
          <w:sz w:val="32"/>
          <w:szCs w:val="32"/>
        </w:rPr>
        <w:t>[0.20,</w:t>
      </w:r>
      <w:r>
        <w:rPr>
          <w:rFonts w:ascii="Times New Roman" w:eastAsia="仿宋" w:hAnsi="Times New Roman" w:hint="eastAsia"/>
          <w:color w:val="000000" w:themeColor="text1"/>
          <w:sz w:val="32"/>
          <w:szCs w:val="32"/>
        </w:rPr>
        <w:t>1.00</w:t>
      </w:r>
      <w:r>
        <w:rPr>
          <w:rFonts w:ascii="Times New Roman" w:eastAsia="仿宋" w:hAnsi="Times New Roman"/>
          <w:color w:val="000000" w:themeColor="text1"/>
          <w:sz w:val="32"/>
          <w:szCs w:val="32"/>
        </w:rPr>
        <w:t xml:space="preserve">] </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范围内线性绝对偏差应</w:t>
      </w:r>
      <w:r>
        <w:rPr>
          <w:rFonts w:ascii="Times New Roman" w:eastAsia="仿宋" w:hAnsi="仿宋" w:hint="eastAsia"/>
          <w:color w:val="000000" w:themeColor="text1"/>
          <w:sz w:val="32"/>
          <w:szCs w:val="32"/>
        </w:rPr>
        <w:t>在</w:t>
      </w:r>
      <w:r>
        <w:rPr>
          <w:rFonts w:ascii="Times New Roman" w:eastAsia="仿宋" w:hAnsi="Times New Roman"/>
          <w:color w:val="000000" w:themeColor="text1"/>
          <w:sz w:val="32"/>
          <w:szCs w:val="32"/>
        </w:rPr>
        <w:t>±0.10mmol/L</w:t>
      </w:r>
      <w:r>
        <w:rPr>
          <w:rFonts w:ascii="Times New Roman" w:eastAsia="仿宋" w:hAnsi="Times New Roman" w:hint="eastAsia"/>
          <w:color w:val="000000" w:themeColor="text1"/>
          <w:sz w:val="32"/>
          <w:szCs w:val="32"/>
        </w:rPr>
        <w:t>范围内</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1.00</w:t>
      </w:r>
      <w:r>
        <w:rPr>
          <w:rFonts w:ascii="Times New Roman" w:eastAsia="仿宋" w:hAnsi="Times New Roman"/>
          <w:color w:val="000000" w:themeColor="text1"/>
          <w:sz w:val="32"/>
          <w:szCs w:val="32"/>
        </w:rPr>
        <w:t xml:space="preserve">,2.50] </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范围内线性相对偏差应</w:t>
      </w:r>
      <w:r>
        <w:rPr>
          <w:rFonts w:ascii="Times New Roman" w:eastAsia="仿宋" w:hAnsi="仿宋" w:hint="eastAsia"/>
          <w:color w:val="000000" w:themeColor="text1"/>
          <w:sz w:val="32"/>
          <w:szCs w:val="32"/>
        </w:rPr>
        <w:t>在</w:t>
      </w:r>
      <w:r>
        <w:rPr>
          <w:rFonts w:ascii="Times New Roman" w:eastAsia="仿宋" w:hAnsi="Times New Roman"/>
          <w:color w:val="000000" w:themeColor="text1"/>
          <w:sz w:val="32"/>
          <w:szCs w:val="32"/>
        </w:rPr>
        <w:t>±10</w:t>
      </w:r>
      <w:r>
        <w:rPr>
          <w:rFonts w:ascii="Times New Roman" w:eastAsia="仿宋" w:hAnsi="仿宋"/>
          <w:color w:val="000000" w:themeColor="text1"/>
          <w:sz w:val="32"/>
          <w:szCs w:val="32"/>
        </w:rPr>
        <w:t>％</w:t>
      </w:r>
      <w:r>
        <w:rPr>
          <w:rFonts w:ascii="Times New Roman" w:eastAsia="仿宋" w:hAnsi="仿宋" w:hint="eastAsia"/>
          <w:color w:val="000000" w:themeColor="text1"/>
          <w:sz w:val="32"/>
          <w:szCs w:val="32"/>
        </w:rPr>
        <w:t>范围内</w:t>
      </w:r>
      <w:r>
        <w:rPr>
          <w:rFonts w:ascii="Times New Roman" w:eastAsia="仿宋" w:hAnsi="仿宋"/>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6</w:t>
      </w:r>
      <w:r>
        <w:rPr>
          <w:rFonts w:ascii="Times New Roman" w:eastAsia="仿宋" w:hAnsi="仿宋"/>
          <w:color w:val="000000" w:themeColor="text1"/>
          <w:sz w:val="32"/>
          <w:szCs w:val="32"/>
        </w:rPr>
        <w:t>）重复性</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在重复性条件下，用试剂（盒）分别测试浓度在（</w:t>
      </w:r>
      <w:r>
        <w:rPr>
          <w:rFonts w:ascii="Times New Roman" w:eastAsia="仿宋" w:hAnsi="Times New Roman"/>
          <w:color w:val="000000" w:themeColor="text1"/>
          <w:sz w:val="32"/>
          <w:szCs w:val="32"/>
        </w:rPr>
        <w:t>0.80±0.20</w:t>
      </w:r>
      <w:r>
        <w:rPr>
          <w:rFonts w:ascii="Times New Roman" w:eastAsia="仿宋" w:hAnsi="仿宋"/>
          <w:color w:val="000000" w:themeColor="text1"/>
          <w:sz w:val="32"/>
          <w:szCs w:val="32"/>
        </w:rPr>
        <w:t>）</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和（</w:t>
      </w:r>
      <w:r>
        <w:rPr>
          <w:rFonts w:ascii="Times New Roman" w:eastAsia="仿宋" w:hAnsi="Times New Roman"/>
          <w:color w:val="000000" w:themeColor="text1"/>
          <w:sz w:val="32"/>
          <w:szCs w:val="32"/>
        </w:rPr>
        <w:t>1.50±0.50</w:t>
      </w:r>
      <w:r>
        <w:rPr>
          <w:rFonts w:ascii="Times New Roman" w:eastAsia="仿宋" w:hAnsi="仿宋"/>
          <w:color w:val="000000" w:themeColor="text1"/>
          <w:sz w:val="32"/>
          <w:szCs w:val="32"/>
        </w:rPr>
        <w:t>）</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的样本，重复测试至少</w:t>
      </w:r>
      <w:r>
        <w:rPr>
          <w:rFonts w:ascii="Times New Roman" w:eastAsia="仿宋" w:hAnsi="Times New Roman"/>
          <w:color w:val="000000" w:themeColor="text1"/>
          <w:sz w:val="32"/>
          <w:szCs w:val="32"/>
        </w:rPr>
        <w:t>10</w:t>
      </w:r>
      <w:r>
        <w:rPr>
          <w:rFonts w:ascii="Times New Roman" w:eastAsia="仿宋" w:hAnsi="仿宋"/>
          <w:color w:val="000000" w:themeColor="text1"/>
          <w:sz w:val="32"/>
          <w:szCs w:val="32"/>
        </w:rPr>
        <w:t>次（</w:t>
      </w:r>
      <w:r>
        <w:rPr>
          <w:rFonts w:ascii="Times New Roman" w:eastAsia="仿宋" w:hAnsi="Times New Roman"/>
          <w:color w:val="000000" w:themeColor="text1"/>
          <w:sz w:val="32"/>
          <w:szCs w:val="32"/>
        </w:rPr>
        <w:t>n≥10</w:t>
      </w:r>
      <w:r>
        <w:rPr>
          <w:rFonts w:ascii="Times New Roman" w:eastAsia="仿宋" w:hAnsi="仿宋"/>
          <w:color w:val="000000" w:themeColor="text1"/>
          <w:sz w:val="32"/>
          <w:szCs w:val="32"/>
        </w:rPr>
        <w:t>），分别计算测量值的平均值（</w:t>
      </w:r>
      <w:r w:rsidR="00990962" w:rsidRPr="00990962">
        <w:rPr>
          <w:rFonts w:ascii="Times New Roman" w:eastAsia="仿宋" w:hAnsi="Times New Roman"/>
          <w:color w:val="000000" w:themeColor="text1"/>
          <w:sz w:val="32"/>
          <w:szCs w:val="32"/>
        </w:rPr>
        <w:object w:dxaOrig="220" w:dyaOrig="260">
          <v:shape id="_x0000_i1025" type="#_x0000_t75" style="width:11.25pt;height:13.5pt" o:ole="" fillcolor="#000005">
            <v:imagedata r:id="rId12" o:title=""/>
          </v:shape>
          <o:OLEObject Type="Embed" ProgID="Equation.3" ShapeID="_x0000_i1025" DrawAspect="Content" ObjectID="_1537525924" r:id="rId13"/>
        </w:object>
      </w:r>
      <w:r>
        <w:rPr>
          <w:rFonts w:ascii="Times New Roman" w:eastAsia="仿宋" w:hAnsi="仿宋"/>
          <w:color w:val="000000" w:themeColor="text1"/>
          <w:sz w:val="32"/>
          <w:szCs w:val="32"/>
        </w:rPr>
        <w:t>）和标准差（</w:t>
      </w:r>
      <w:r>
        <w:rPr>
          <w:rFonts w:ascii="Times New Roman" w:eastAsia="仿宋" w:hAnsi="Times New Roman"/>
          <w:color w:val="000000" w:themeColor="text1"/>
          <w:sz w:val="32"/>
          <w:szCs w:val="32"/>
        </w:rPr>
        <w:t>s</w:t>
      </w:r>
      <w:r>
        <w:rPr>
          <w:rFonts w:ascii="Times New Roman" w:eastAsia="仿宋" w:hAnsi="仿宋"/>
          <w:color w:val="000000" w:themeColor="text1"/>
          <w:sz w:val="32"/>
          <w:szCs w:val="32"/>
        </w:rPr>
        <w:t>）。计算变异系数（</w:t>
      </w:r>
      <w:r>
        <w:rPr>
          <w:rFonts w:ascii="Times New Roman" w:eastAsia="仿宋" w:hAnsi="Times New Roman"/>
          <w:color w:val="000000" w:themeColor="text1"/>
          <w:sz w:val="32"/>
          <w:szCs w:val="32"/>
        </w:rPr>
        <w:t>CV</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应不大于</w:t>
      </w:r>
      <w:r>
        <w:rPr>
          <w:rFonts w:ascii="Times New Roman" w:eastAsia="仿宋" w:hAnsi="Times New Roman"/>
          <w:color w:val="000000" w:themeColor="text1"/>
          <w:sz w:val="32"/>
          <w:szCs w:val="32"/>
        </w:rPr>
        <w:t>4%</w:t>
      </w:r>
      <w:r>
        <w:rPr>
          <w:rFonts w:ascii="Times New Roman" w:eastAsia="仿宋" w:hAnsi="仿宋"/>
          <w:color w:val="000000" w:themeColor="text1"/>
          <w:sz w:val="32"/>
          <w:szCs w:val="32"/>
        </w:rPr>
        <w:t>。</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7</w:t>
      </w:r>
      <w:r>
        <w:rPr>
          <w:rFonts w:ascii="Times New Roman" w:eastAsia="仿宋" w:hAnsi="仿宋"/>
          <w:color w:val="000000" w:themeColor="text1"/>
          <w:sz w:val="32"/>
          <w:szCs w:val="32"/>
        </w:rPr>
        <w:t>）</w:t>
      </w:r>
      <w:proofErr w:type="gramStart"/>
      <w:r>
        <w:rPr>
          <w:rFonts w:ascii="Times New Roman" w:eastAsia="仿宋" w:hAnsi="仿宋"/>
          <w:color w:val="000000" w:themeColor="text1"/>
          <w:sz w:val="32"/>
          <w:szCs w:val="32"/>
        </w:rPr>
        <w:t>批间差</w:t>
      </w:r>
      <w:proofErr w:type="gramEnd"/>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分别用</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个不同批号的试剂（盒）测试浓度在</w:t>
      </w:r>
      <w:r>
        <w:rPr>
          <w:rFonts w:ascii="Times New Roman" w:eastAsia="仿宋" w:hAnsi="Times New Roman"/>
          <w:color w:val="000000" w:themeColor="text1"/>
          <w:sz w:val="32"/>
          <w:szCs w:val="32"/>
        </w:rPr>
        <w:t>(1.50±0.50)</w:t>
      </w:r>
      <w:proofErr w:type="spellStart"/>
      <w:r>
        <w:rPr>
          <w:rFonts w:ascii="Times New Roman" w:eastAsia="仿宋" w:hAnsi="Times New Roman"/>
          <w:color w:val="000000" w:themeColor="text1"/>
          <w:sz w:val="32"/>
          <w:szCs w:val="32"/>
        </w:rPr>
        <w:t>mmol</w:t>
      </w:r>
      <w:proofErr w:type="spellEnd"/>
      <w:r>
        <w:rPr>
          <w:rFonts w:ascii="Times New Roman" w:eastAsia="仿宋" w:hAnsi="Times New Roman"/>
          <w:color w:val="000000" w:themeColor="text1"/>
          <w:sz w:val="32"/>
          <w:szCs w:val="32"/>
        </w:rPr>
        <w:t>/L</w:t>
      </w:r>
      <w:r>
        <w:rPr>
          <w:rFonts w:ascii="Times New Roman" w:eastAsia="仿宋" w:hAnsi="仿宋"/>
          <w:color w:val="000000" w:themeColor="text1"/>
          <w:sz w:val="32"/>
          <w:szCs w:val="32"/>
        </w:rPr>
        <w:t>的样品，每个批号测试</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次，分别计算每批</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次测定的均值</w:t>
      </w:r>
      <w:r w:rsidR="00990962" w:rsidRPr="00990962">
        <w:rPr>
          <w:rFonts w:ascii="Times New Roman" w:eastAsia="仿宋" w:hAnsi="Times New Roman"/>
          <w:color w:val="000000" w:themeColor="text1"/>
          <w:sz w:val="32"/>
          <w:szCs w:val="32"/>
        </w:rPr>
        <w:object w:dxaOrig="243" w:dyaOrig="365">
          <v:shape id="_x0000_i1026" type="#_x0000_t75" style="width:12pt;height:18pt" o:ole="">
            <v:imagedata r:id="rId14" o:title=""/>
          </v:shape>
          <o:OLEObject Type="Embed" ProgID="Equation.3" ShapeID="_x0000_i1026" DrawAspect="Content" ObjectID="_1537525925" r:id="rId15"/>
        </w:object>
      </w:r>
      <w:r>
        <w:rPr>
          <w:rFonts w:ascii="Times New Roman" w:eastAsia="仿宋" w:hAnsi="Times New Roman"/>
          <w:color w:val="000000" w:themeColor="text1"/>
          <w:sz w:val="32"/>
          <w:szCs w:val="32"/>
        </w:rPr>
        <w:t>(</w:t>
      </w:r>
      <w:proofErr w:type="spellStart"/>
      <w:r>
        <w:rPr>
          <w:rFonts w:ascii="Times New Roman" w:eastAsia="仿宋" w:hAnsi="Times New Roman"/>
          <w:color w:val="000000" w:themeColor="text1"/>
          <w:sz w:val="32"/>
          <w:szCs w:val="32"/>
        </w:rPr>
        <w:t>i</w:t>
      </w:r>
      <w:proofErr w:type="spellEnd"/>
      <w:r>
        <w:rPr>
          <w:rFonts w:ascii="Times New Roman" w:eastAsia="仿宋" w:hAnsi="Times New Roman"/>
          <w:color w:val="000000" w:themeColor="text1"/>
          <w:sz w:val="32"/>
          <w:szCs w:val="32"/>
        </w:rPr>
        <w:t>=1,2,3)</w:t>
      </w:r>
      <w:r>
        <w:rPr>
          <w:rFonts w:ascii="Times New Roman" w:eastAsia="仿宋" w:hAnsi="仿宋"/>
          <w:color w:val="000000" w:themeColor="text1"/>
          <w:sz w:val="32"/>
          <w:szCs w:val="32"/>
        </w:rPr>
        <w:t>，按公式（</w:t>
      </w:r>
      <w:r>
        <w:rPr>
          <w:rFonts w:ascii="Times New Roman" w:eastAsia="仿宋" w:hAnsi="Times New Roman" w:hint="eastAsia"/>
          <w:color w:val="000000" w:themeColor="text1"/>
          <w:sz w:val="32"/>
          <w:szCs w:val="32"/>
        </w:rPr>
        <w:t>2</w:t>
      </w:r>
      <w:r>
        <w:rPr>
          <w:rFonts w:ascii="Times New Roman" w:eastAsia="仿宋" w:hAnsi="仿宋"/>
          <w:color w:val="000000" w:themeColor="text1"/>
          <w:sz w:val="32"/>
          <w:szCs w:val="32"/>
        </w:rPr>
        <w:t>）、（</w:t>
      </w:r>
      <w:r>
        <w:rPr>
          <w:rFonts w:ascii="Times New Roman" w:eastAsia="仿宋" w:hAnsi="Times New Roman" w:hint="eastAsia"/>
          <w:color w:val="000000" w:themeColor="text1"/>
          <w:sz w:val="32"/>
          <w:szCs w:val="32"/>
        </w:rPr>
        <w:t>3</w:t>
      </w:r>
      <w:r>
        <w:rPr>
          <w:rFonts w:ascii="Times New Roman" w:eastAsia="仿宋" w:hAnsi="仿宋"/>
          <w:color w:val="000000" w:themeColor="text1"/>
          <w:sz w:val="32"/>
          <w:szCs w:val="32"/>
        </w:rPr>
        <w:t>）计算相对极差（</w:t>
      </w:r>
      <w:r>
        <w:rPr>
          <w:rFonts w:ascii="Times New Roman" w:eastAsia="仿宋" w:hAnsi="Times New Roman"/>
          <w:color w:val="000000" w:themeColor="text1"/>
          <w:sz w:val="32"/>
          <w:szCs w:val="32"/>
        </w:rPr>
        <w:t>R</w:t>
      </w:r>
      <w:r>
        <w:rPr>
          <w:rFonts w:ascii="Times New Roman" w:eastAsia="仿宋" w:hAnsi="仿宋"/>
          <w:color w:val="000000" w:themeColor="text1"/>
          <w:sz w:val="32"/>
          <w:szCs w:val="32"/>
        </w:rPr>
        <w:t>），所得结果应不大于</w:t>
      </w:r>
      <w:r>
        <w:rPr>
          <w:rFonts w:ascii="Times New Roman" w:eastAsia="仿宋" w:hAnsi="Times New Roman"/>
          <w:color w:val="000000" w:themeColor="text1"/>
          <w:sz w:val="32"/>
          <w:szCs w:val="32"/>
        </w:rPr>
        <w:t>10%</w:t>
      </w:r>
      <w:r>
        <w:rPr>
          <w:rFonts w:ascii="Times New Roman" w:eastAsia="仿宋" w:hAnsi="仿宋"/>
          <w:color w:val="000000" w:themeColor="text1"/>
          <w:sz w:val="32"/>
          <w:szCs w:val="32"/>
        </w:rPr>
        <w:t>。</w:t>
      </w:r>
    </w:p>
    <w:p w:rsidR="00990962" w:rsidRDefault="008B3922">
      <w:pPr>
        <w:pStyle w:val="a8"/>
        <w:adjustRightInd w:val="0"/>
        <w:snapToGrid w:val="0"/>
        <w:spacing w:line="520" w:lineRule="exact"/>
        <w:ind w:firstLineChars="62" w:firstLine="198"/>
        <w:rPr>
          <w:rFonts w:ascii="Times New Roman" w:eastAsia="仿宋" w:hAnsi="仿宋"/>
          <w:color w:val="000000" w:themeColor="text1"/>
          <w:sz w:val="32"/>
          <w:szCs w:val="32"/>
        </w:rPr>
      </w:pPr>
      <w:r w:rsidRPr="008B3922">
        <w:rPr>
          <w:rFonts w:ascii="Times New Roman" w:eastAsia="仿宋" w:hAnsi="Times New Roman"/>
          <w:color w:val="000000" w:themeColor="text1"/>
          <w:sz w:val="32"/>
          <w:szCs w:val="32"/>
        </w:rPr>
        <w:pict>
          <v:shape id="_x0000_s1042" type="#_x0000_t75" style="position:absolute;left:0;text-align:left;margin-left:22.55pt;margin-top:2.5pt;width:120pt;height:36.75pt;z-index:251663360">
            <v:imagedata r:id="rId16" o:title=""/>
            <w10:wrap type="square"/>
          </v:shape>
          <o:OLEObject Type="Embed" ProgID="Equation.3" ShapeID="_x0000_s1042" DrawAspect="Content" ObjectID="_1537525934" r:id="rId17"/>
        </w:pict>
      </w:r>
      <w:r w:rsidR="00806EEC">
        <w:rPr>
          <w:rFonts w:ascii="Times New Roman" w:eastAsia="仿宋" w:hAnsi="Times New Roman"/>
          <w:color w:val="000000" w:themeColor="text1"/>
          <w:sz w:val="32"/>
          <w:szCs w:val="32"/>
        </w:rPr>
        <w:t>……………………………………</w:t>
      </w:r>
      <w:r w:rsidR="00806EEC">
        <w:rPr>
          <w:rFonts w:ascii="Times New Roman" w:eastAsia="仿宋" w:hAnsi="仿宋"/>
          <w:color w:val="000000" w:themeColor="text1"/>
          <w:sz w:val="32"/>
          <w:szCs w:val="32"/>
        </w:rPr>
        <w:t>（</w:t>
      </w:r>
      <w:r w:rsidR="00806EEC">
        <w:rPr>
          <w:rFonts w:ascii="Times New Roman" w:eastAsia="仿宋" w:hAnsi="Times New Roman" w:hint="eastAsia"/>
          <w:color w:val="000000" w:themeColor="text1"/>
          <w:sz w:val="32"/>
          <w:szCs w:val="32"/>
        </w:rPr>
        <w:t>2</w:t>
      </w:r>
      <w:r w:rsidR="00806EEC">
        <w:rPr>
          <w:rFonts w:ascii="Times New Roman" w:eastAsia="仿宋" w:hAnsi="仿宋"/>
          <w:color w:val="000000" w:themeColor="text1"/>
          <w:sz w:val="32"/>
          <w:szCs w:val="32"/>
        </w:rPr>
        <w:t>）</w:t>
      </w:r>
    </w:p>
    <w:p w:rsidR="00990962" w:rsidRDefault="00990962">
      <w:pPr>
        <w:pStyle w:val="a8"/>
        <w:adjustRightInd w:val="0"/>
        <w:snapToGrid w:val="0"/>
        <w:spacing w:line="240" w:lineRule="auto"/>
        <w:ind w:firstLineChars="62" w:firstLine="193"/>
        <w:rPr>
          <w:rFonts w:ascii="Times New Roman" w:eastAsia="仿宋" w:hAnsi="Times New Roman"/>
          <w:color w:val="000000" w:themeColor="text1"/>
          <w:sz w:val="32"/>
          <w:szCs w:val="32"/>
        </w:rPr>
      </w:pPr>
    </w:p>
    <w:p w:rsidR="00990962" w:rsidRDefault="008B3922">
      <w:pPr>
        <w:pStyle w:val="a8"/>
        <w:adjustRightInd w:val="0"/>
        <w:snapToGrid w:val="0"/>
        <w:spacing w:line="520" w:lineRule="exact"/>
        <w:ind w:firstLineChars="64" w:firstLine="205"/>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pict>
          <v:shape id="_x0000_s1041" type="#_x0000_t75" style="position:absolute;left:0;text-align:left;margin-left:30.05pt;margin-top:7.25pt;width:114.7pt;height:37.5pt;z-index:251662336">
            <v:imagedata r:id="rId18" o:title=""/>
            <w10:wrap type="square"/>
          </v:shape>
          <o:OLEObject Type="Embed" ProgID="Equation.3" ShapeID="_x0000_s1041" DrawAspect="Content" ObjectID="_1537525935" r:id="rId19"/>
        </w:pict>
      </w:r>
      <w:r w:rsidR="00806EEC">
        <w:rPr>
          <w:rFonts w:ascii="Times New Roman" w:eastAsia="仿宋" w:hAnsi="Times New Roman"/>
          <w:color w:val="000000" w:themeColor="text1"/>
          <w:sz w:val="32"/>
          <w:szCs w:val="32"/>
        </w:rPr>
        <w:t>……………………………………</w:t>
      </w:r>
      <w:r w:rsidR="00806EEC">
        <w:rPr>
          <w:rFonts w:ascii="Times New Roman" w:eastAsia="仿宋" w:hAnsi="仿宋"/>
          <w:color w:val="000000" w:themeColor="text1"/>
          <w:sz w:val="32"/>
          <w:szCs w:val="32"/>
        </w:rPr>
        <w:t>（</w:t>
      </w:r>
      <w:r w:rsidR="00806EEC">
        <w:rPr>
          <w:rFonts w:ascii="Times New Roman" w:eastAsia="仿宋" w:hAnsi="Times New Roman" w:hint="eastAsia"/>
          <w:color w:val="000000" w:themeColor="text1"/>
          <w:sz w:val="32"/>
          <w:szCs w:val="32"/>
        </w:rPr>
        <w:t>3</w:t>
      </w:r>
      <w:r w:rsidR="00806EEC">
        <w:rPr>
          <w:rFonts w:ascii="Times New Roman" w:eastAsia="仿宋" w:hAnsi="仿宋"/>
          <w:color w:val="000000" w:themeColor="text1"/>
          <w:sz w:val="32"/>
          <w:szCs w:val="32"/>
        </w:rPr>
        <w:t>）</w:t>
      </w:r>
    </w:p>
    <w:p w:rsidR="00990962" w:rsidRDefault="00990962">
      <w:pPr>
        <w:pStyle w:val="a8"/>
        <w:adjustRightInd w:val="0"/>
        <w:snapToGrid w:val="0"/>
        <w:spacing w:line="520" w:lineRule="exact"/>
        <w:ind w:firstLineChars="0" w:firstLine="0"/>
        <w:rPr>
          <w:rFonts w:ascii="Times New Roman" w:eastAsia="仿宋" w:hAnsi="仿宋"/>
          <w:color w:val="000000" w:themeColor="text1"/>
          <w:sz w:val="32"/>
          <w:szCs w:val="32"/>
        </w:rPr>
      </w:pP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式中：</w:t>
      </w:r>
    </w:p>
    <w:p w:rsidR="00990962" w:rsidRDefault="00990962">
      <w:pPr>
        <w:pStyle w:val="a8"/>
        <w:adjustRightInd w:val="0"/>
        <w:snapToGrid w:val="0"/>
        <w:spacing w:line="520" w:lineRule="exact"/>
        <w:ind w:firstLineChars="300" w:firstLine="840"/>
        <w:rPr>
          <w:rFonts w:ascii="Times New Roman" w:eastAsia="仿宋" w:hAnsi="仿宋"/>
          <w:color w:val="000000" w:themeColor="text1"/>
          <w:sz w:val="28"/>
          <w:szCs w:val="28"/>
        </w:rPr>
      </w:pPr>
      <w:r w:rsidRPr="00990962">
        <w:rPr>
          <w:color w:val="000000" w:themeColor="text1"/>
          <w:position w:val="-10"/>
          <w:sz w:val="28"/>
          <w:szCs w:val="28"/>
        </w:rPr>
        <w:object w:dxaOrig="320" w:dyaOrig="340">
          <v:shape id="_x0000_i1027" type="#_x0000_t75" style="width:15.75pt;height:17.25pt" o:ole="">
            <v:imagedata r:id="rId20" o:title=""/>
          </v:shape>
          <o:OLEObject Type="Embed" ProgID="Equation.3" ShapeID="_x0000_i1027" DrawAspect="Content" ObjectID="_1537525926" r:id="rId21"/>
        </w:object>
      </w:r>
      <w:r w:rsidR="00806EEC">
        <w:rPr>
          <w:rFonts w:ascii="Times New Roman" w:eastAsia="仿宋" w:hAnsi="仿宋"/>
          <w:color w:val="000000" w:themeColor="text1"/>
          <w:sz w:val="28"/>
          <w:szCs w:val="28"/>
        </w:rPr>
        <w:t>－总平均数</w:t>
      </w:r>
    </w:p>
    <w:p w:rsidR="00990962" w:rsidRDefault="00990962">
      <w:pPr>
        <w:pStyle w:val="a8"/>
        <w:adjustRightInd w:val="0"/>
        <w:snapToGrid w:val="0"/>
        <w:spacing w:line="520" w:lineRule="exact"/>
        <w:ind w:firstLineChars="300" w:firstLine="840"/>
        <w:rPr>
          <w:rFonts w:ascii="Times New Roman" w:eastAsia="仿宋" w:hAnsi="Times New Roman"/>
          <w:color w:val="000000" w:themeColor="text1"/>
          <w:sz w:val="28"/>
          <w:szCs w:val="28"/>
        </w:rPr>
      </w:pPr>
      <w:r w:rsidRPr="00990962">
        <w:rPr>
          <w:color w:val="000000" w:themeColor="text1"/>
          <w:position w:val="-4"/>
          <w:sz w:val="28"/>
          <w:szCs w:val="28"/>
        </w:rPr>
        <w:object w:dxaOrig="240" w:dyaOrig="260">
          <v:shape id="_x0000_i1028" type="#_x0000_t75" style="width:12pt;height:12.75pt" o:ole="">
            <v:imagedata r:id="rId22" o:title=""/>
          </v:shape>
          <o:OLEObject Type="Embed" ProgID="Equation.3" ShapeID="_x0000_i1028" DrawAspect="Content" ObjectID="_1537525927" r:id="rId23"/>
        </w:object>
      </w:r>
      <w:r w:rsidR="00806EEC">
        <w:rPr>
          <w:rFonts w:ascii="Times New Roman" w:eastAsia="仿宋" w:hAnsi="仿宋"/>
          <w:color w:val="000000" w:themeColor="text1"/>
          <w:sz w:val="28"/>
          <w:szCs w:val="28"/>
        </w:rPr>
        <w:t>－</w:t>
      </w:r>
      <w:r w:rsidR="00806EEC">
        <w:rPr>
          <w:rFonts w:ascii="Times New Roman" w:eastAsia="仿宋" w:hAnsi="仿宋" w:hint="eastAsia"/>
          <w:color w:val="000000" w:themeColor="text1"/>
          <w:sz w:val="28"/>
          <w:szCs w:val="28"/>
        </w:rPr>
        <w:t>相对极差</w:t>
      </w:r>
    </w:p>
    <w:p w:rsidR="00990962" w:rsidRDefault="00990962">
      <w:pPr>
        <w:pStyle w:val="a8"/>
        <w:adjustRightInd w:val="0"/>
        <w:snapToGrid w:val="0"/>
        <w:spacing w:line="520" w:lineRule="exact"/>
        <w:ind w:firstLineChars="300" w:firstLine="840"/>
        <w:rPr>
          <w:rFonts w:ascii="Times New Roman" w:eastAsia="仿宋" w:hAnsi="Times New Roman"/>
          <w:color w:val="000000" w:themeColor="text1"/>
          <w:sz w:val="28"/>
          <w:szCs w:val="28"/>
        </w:rPr>
      </w:pPr>
      <w:r w:rsidRPr="00990962">
        <w:rPr>
          <w:rFonts w:ascii="Times New Roman" w:eastAsia="仿宋" w:hAnsi="Times New Roman"/>
          <w:color w:val="000000" w:themeColor="text1"/>
          <w:sz w:val="28"/>
          <w:szCs w:val="28"/>
        </w:rPr>
        <w:object w:dxaOrig="463" w:dyaOrig="363">
          <v:shape id="_x0000_i1029" type="#_x0000_t75" style="width:22.5pt;height:18pt" o:ole="">
            <v:imagedata r:id="rId24" o:title=""/>
          </v:shape>
          <o:OLEObject Type="Embed" ProgID="Equation.3" ShapeID="_x0000_i1029" DrawAspect="Content" ObjectID="_1537525928" r:id="rId25"/>
        </w:object>
      </w:r>
      <w:r w:rsidR="00806EEC">
        <w:rPr>
          <w:rFonts w:ascii="Times New Roman" w:eastAsia="仿宋" w:hAnsi="仿宋"/>
          <w:color w:val="000000" w:themeColor="text1"/>
          <w:sz w:val="28"/>
          <w:szCs w:val="28"/>
        </w:rPr>
        <w:t>－</w:t>
      </w:r>
      <w:r w:rsidRPr="00990962">
        <w:rPr>
          <w:rFonts w:ascii="Times New Roman" w:eastAsia="仿宋" w:hAnsi="Times New Roman"/>
          <w:color w:val="000000" w:themeColor="text1"/>
          <w:sz w:val="28"/>
          <w:szCs w:val="28"/>
        </w:rPr>
        <w:object w:dxaOrig="243" w:dyaOrig="365">
          <v:shape id="_x0000_i1030" type="#_x0000_t75" style="width:12pt;height:18pt" o:ole="">
            <v:imagedata r:id="rId14" o:title=""/>
          </v:shape>
          <o:OLEObject Type="Embed" ProgID="Equation.3" ShapeID="_x0000_i1030" DrawAspect="Content" ObjectID="_1537525929" r:id="rId26"/>
        </w:object>
      </w:r>
      <w:r w:rsidR="00806EEC">
        <w:rPr>
          <w:rFonts w:ascii="Times New Roman" w:eastAsia="仿宋" w:hAnsi="仿宋"/>
          <w:color w:val="000000" w:themeColor="text1"/>
          <w:sz w:val="28"/>
          <w:szCs w:val="28"/>
        </w:rPr>
        <w:t>中的最大值；</w:t>
      </w:r>
    </w:p>
    <w:p w:rsidR="00990962" w:rsidRDefault="00990962">
      <w:pPr>
        <w:pStyle w:val="a8"/>
        <w:adjustRightInd w:val="0"/>
        <w:snapToGrid w:val="0"/>
        <w:spacing w:line="520" w:lineRule="exact"/>
        <w:ind w:firstLineChars="300" w:firstLine="840"/>
        <w:rPr>
          <w:rFonts w:ascii="Times New Roman" w:eastAsia="仿宋" w:hAnsi="仿宋"/>
          <w:color w:val="000000" w:themeColor="text1"/>
          <w:sz w:val="32"/>
          <w:szCs w:val="32"/>
        </w:rPr>
      </w:pPr>
      <w:r w:rsidRPr="00990962">
        <w:rPr>
          <w:rFonts w:ascii="Times New Roman" w:eastAsia="仿宋" w:hAnsi="Times New Roman"/>
          <w:color w:val="000000" w:themeColor="text1"/>
          <w:sz w:val="28"/>
          <w:szCs w:val="28"/>
        </w:rPr>
        <w:object w:dxaOrig="420" w:dyaOrig="340">
          <v:shape id="_x0000_i1031" type="#_x0000_t75" style="width:21pt;height:18pt" o:ole="">
            <v:imagedata r:id="rId27" o:title=""/>
          </v:shape>
          <o:OLEObject Type="Embed" ProgID="Equation.3" ShapeID="_x0000_i1031" DrawAspect="Content" ObjectID="_1537525930" r:id="rId28"/>
        </w:object>
      </w:r>
      <w:r w:rsidR="00806EEC">
        <w:rPr>
          <w:rFonts w:ascii="Times New Roman" w:eastAsia="仿宋" w:hAnsi="仿宋"/>
          <w:color w:val="000000" w:themeColor="text1"/>
          <w:sz w:val="28"/>
          <w:szCs w:val="28"/>
        </w:rPr>
        <w:t>－</w:t>
      </w:r>
      <w:r w:rsidRPr="00990962">
        <w:rPr>
          <w:rFonts w:ascii="Times New Roman" w:eastAsia="仿宋" w:hAnsi="Times New Roman"/>
          <w:color w:val="000000" w:themeColor="text1"/>
          <w:sz w:val="28"/>
          <w:szCs w:val="28"/>
        </w:rPr>
        <w:object w:dxaOrig="243" w:dyaOrig="365">
          <v:shape id="_x0000_i1032" type="#_x0000_t75" style="width:12pt;height:18pt" o:ole="">
            <v:imagedata r:id="rId14" o:title=""/>
          </v:shape>
          <o:OLEObject Type="Embed" ProgID="Equation.3" ShapeID="_x0000_i1032" DrawAspect="Content" ObjectID="_1537525931" r:id="rId29"/>
        </w:object>
      </w:r>
      <w:r w:rsidR="00806EEC">
        <w:rPr>
          <w:rFonts w:ascii="Times New Roman" w:eastAsia="仿宋" w:hAnsi="仿宋"/>
          <w:color w:val="000000" w:themeColor="text1"/>
          <w:sz w:val="28"/>
          <w:szCs w:val="28"/>
        </w:rPr>
        <w:t>中的最小值。</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lastRenderedPageBreak/>
        <w:t>（</w:t>
      </w:r>
      <w:r>
        <w:rPr>
          <w:rFonts w:ascii="Times New Roman" w:eastAsia="仿宋" w:hAnsi="Times New Roman"/>
          <w:color w:val="000000" w:themeColor="text1"/>
          <w:sz w:val="32"/>
          <w:szCs w:val="32"/>
        </w:rPr>
        <w:t>8</w:t>
      </w:r>
      <w:r>
        <w:rPr>
          <w:rFonts w:ascii="Times New Roman" w:eastAsia="仿宋" w:hAnsi="仿宋"/>
          <w:color w:val="000000" w:themeColor="text1"/>
          <w:sz w:val="32"/>
          <w:szCs w:val="32"/>
        </w:rPr>
        <w:t>）准确度</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hint="eastAsia"/>
          <w:color w:val="000000" w:themeColor="text1"/>
          <w:sz w:val="32"/>
          <w:szCs w:val="32"/>
        </w:rPr>
        <w:t>按照优先顺序，采用下列方法之一测试试剂（盒）准确度。</w:t>
      </w:r>
    </w:p>
    <w:p w:rsidR="00990962" w:rsidRDefault="00806EEC">
      <w:pPr>
        <w:pStyle w:val="a8"/>
        <w:numPr>
          <w:ilvl w:val="0"/>
          <w:numId w:val="1"/>
        </w:numPr>
        <w:adjustRightInd w:val="0"/>
        <w:snapToGrid w:val="0"/>
        <w:spacing w:line="520" w:lineRule="exact"/>
        <w:ind w:left="0" w:firstLine="624"/>
        <w:rPr>
          <w:rFonts w:ascii="Times New Roman" w:eastAsia="仿宋" w:hAnsi="Times New Roman"/>
          <w:color w:val="000000" w:themeColor="text1"/>
          <w:sz w:val="32"/>
          <w:szCs w:val="32"/>
        </w:rPr>
      </w:pPr>
      <w:r>
        <w:rPr>
          <w:rFonts w:ascii="Times New Roman" w:eastAsia="仿宋" w:hAnsi="仿宋" w:hint="eastAsia"/>
          <w:color w:val="000000" w:themeColor="text1"/>
          <w:sz w:val="32"/>
          <w:szCs w:val="32"/>
        </w:rPr>
        <w:t>相对偏差：</w:t>
      </w:r>
      <w:r>
        <w:rPr>
          <w:rFonts w:ascii="Times New Roman" w:eastAsia="仿宋" w:hAnsi="仿宋"/>
          <w:color w:val="000000" w:themeColor="text1"/>
          <w:sz w:val="32"/>
          <w:szCs w:val="32"/>
        </w:rPr>
        <w:t>用可用于评价常规方法的参考物质或有证参考物质对试剂（盒）进行测试，重复检测</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次，检测结果记为（</w:t>
      </w:r>
      <w:r>
        <w:rPr>
          <w:rFonts w:ascii="Times New Roman" w:eastAsia="仿宋" w:hAnsi="Times New Roman"/>
          <w:color w:val="000000" w:themeColor="text1"/>
          <w:sz w:val="32"/>
          <w:szCs w:val="32"/>
        </w:rPr>
        <w:t>xi</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 xml:space="preserve"> </w:t>
      </w:r>
      <w:r>
        <w:rPr>
          <w:rFonts w:ascii="Times New Roman" w:eastAsia="仿宋" w:hAnsi="仿宋"/>
          <w:color w:val="000000" w:themeColor="text1"/>
          <w:sz w:val="32"/>
          <w:szCs w:val="32"/>
        </w:rPr>
        <w:t>按公式（</w:t>
      </w:r>
      <w:r>
        <w:rPr>
          <w:rFonts w:ascii="Times New Roman" w:eastAsia="仿宋" w:hAnsi="Times New Roman" w:hint="eastAsia"/>
          <w:color w:val="000000" w:themeColor="text1"/>
          <w:sz w:val="32"/>
          <w:szCs w:val="32"/>
        </w:rPr>
        <w:t>4</w:t>
      </w:r>
      <w:r>
        <w:rPr>
          <w:rFonts w:ascii="Times New Roman" w:eastAsia="仿宋" w:hAnsi="仿宋"/>
          <w:color w:val="000000" w:themeColor="text1"/>
          <w:sz w:val="32"/>
          <w:szCs w:val="32"/>
        </w:rPr>
        <w:t>）计算相对偏差</w:t>
      </w:r>
      <w:r>
        <w:rPr>
          <w:rFonts w:ascii="Times New Roman" w:eastAsia="仿宋" w:hAnsi="Times New Roman"/>
          <w:color w:val="000000" w:themeColor="text1"/>
          <w:sz w:val="32"/>
          <w:szCs w:val="32"/>
        </w:rPr>
        <w:t>B</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应</w:t>
      </w:r>
      <w:r>
        <w:rPr>
          <w:rFonts w:ascii="Times New Roman" w:eastAsia="仿宋" w:hAnsi="仿宋" w:hint="eastAsia"/>
          <w:color w:val="000000" w:themeColor="text1"/>
          <w:sz w:val="32"/>
          <w:szCs w:val="32"/>
        </w:rPr>
        <w:t>在</w:t>
      </w:r>
      <w:r>
        <w:rPr>
          <w:rFonts w:ascii="Times New Roman" w:eastAsia="仿宋" w:hAnsi="Times New Roman"/>
          <w:color w:val="000000" w:themeColor="text1"/>
          <w:sz w:val="32"/>
          <w:szCs w:val="32"/>
        </w:rPr>
        <w:t>±10%</w:t>
      </w:r>
      <w:r>
        <w:rPr>
          <w:rFonts w:ascii="Times New Roman" w:eastAsia="仿宋" w:hAnsi="Times New Roman" w:hint="eastAsia"/>
          <w:color w:val="000000" w:themeColor="text1"/>
          <w:sz w:val="32"/>
          <w:szCs w:val="32"/>
        </w:rPr>
        <w:t>范围内</w:t>
      </w:r>
      <w:r>
        <w:rPr>
          <w:rFonts w:ascii="Times New Roman" w:eastAsia="仿宋" w:hAnsi="仿宋"/>
          <w:color w:val="000000" w:themeColor="text1"/>
          <w:sz w:val="32"/>
          <w:szCs w:val="32"/>
        </w:rPr>
        <w:t>。若</w:t>
      </w:r>
      <w:r>
        <w:rPr>
          <w:rFonts w:ascii="Times New Roman" w:eastAsia="仿宋" w:hAnsi="Times New Roman"/>
          <w:color w:val="000000" w:themeColor="text1"/>
          <w:sz w:val="32"/>
          <w:szCs w:val="32"/>
        </w:rPr>
        <w:t>3</w:t>
      </w:r>
      <w:r>
        <w:rPr>
          <w:rFonts w:ascii="Times New Roman" w:eastAsia="仿宋" w:hAnsi="仿宋"/>
          <w:color w:val="000000" w:themeColor="text1"/>
          <w:sz w:val="32"/>
          <w:szCs w:val="32"/>
        </w:rPr>
        <w:t>次结果都符合要求，即判为合格；若有大于或等于</w:t>
      </w:r>
      <w:r>
        <w:rPr>
          <w:rFonts w:ascii="Times New Roman" w:eastAsia="仿宋" w:hAnsi="Times New Roman"/>
          <w:color w:val="000000" w:themeColor="text1"/>
          <w:sz w:val="32"/>
          <w:szCs w:val="32"/>
        </w:rPr>
        <w:t>2</w:t>
      </w:r>
      <w:r>
        <w:rPr>
          <w:rFonts w:ascii="Times New Roman" w:eastAsia="仿宋" w:hAnsi="仿宋"/>
          <w:color w:val="000000" w:themeColor="text1"/>
          <w:sz w:val="32"/>
          <w:szCs w:val="32"/>
        </w:rPr>
        <w:t>次的结果不符合要求，即判为不合格。若有一次结果不符合要求，则应重新连续测试</w:t>
      </w:r>
      <w:r>
        <w:rPr>
          <w:rFonts w:ascii="Times New Roman" w:eastAsia="仿宋" w:hAnsi="Times New Roman"/>
          <w:color w:val="000000" w:themeColor="text1"/>
          <w:sz w:val="32"/>
          <w:szCs w:val="32"/>
        </w:rPr>
        <w:t>20</w:t>
      </w:r>
      <w:r>
        <w:rPr>
          <w:rFonts w:ascii="Times New Roman" w:eastAsia="仿宋" w:hAnsi="仿宋"/>
          <w:color w:val="000000" w:themeColor="text1"/>
          <w:sz w:val="32"/>
          <w:szCs w:val="32"/>
        </w:rPr>
        <w:t>次，并分别按（</w:t>
      </w:r>
      <w:r>
        <w:rPr>
          <w:rFonts w:ascii="Times New Roman" w:eastAsia="仿宋" w:hAnsi="Times New Roman" w:hint="eastAsia"/>
          <w:color w:val="000000" w:themeColor="text1"/>
          <w:sz w:val="32"/>
          <w:szCs w:val="32"/>
        </w:rPr>
        <w:t>4</w:t>
      </w:r>
      <w:r>
        <w:rPr>
          <w:rFonts w:ascii="Times New Roman" w:eastAsia="仿宋" w:hAnsi="仿宋"/>
          <w:color w:val="000000" w:themeColor="text1"/>
          <w:sz w:val="32"/>
          <w:szCs w:val="32"/>
        </w:rPr>
        <w:t>）式就算相对偏差，如果大于或等于</w:t>
      </w:r>
      <w:r>
        <w:rPr>
          <w:rFonts w:ascii="Times New Roman" w:eastAsia="仿宋" w:hAnsi="Times New Roman"/>
          <w:color w:val="000000" w:themeColor="text1"/>
          <w:sz w:val="32"/>
          <w:szCs w:val="32"/>
        </w:rPr>
        <w:t>19</w:t>
      </w:r>
      <w:r>
        <w:rPr>
          <w:rFonts w:ascii="Times New Roman" w:eastAsia="仿宋" w:hAnsi="仿宋"/>
          <w:color w:val="000000" w:themeColor="text1"/>
          <w:sz w:val="32"/>
          <w:szCs w:val="32"/>
        </w:rPr>
        <w:t>次测试的结果符合要求，则测试结果判为合格。</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Times New Roman"/>
          <w:color w:val="000000" w:themeColor="text1"/>
          <w:sz w:val="32"/>
          <w:szCs w:val="32"/>
        </w:rPr>
        <w:t>B</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(x</w:t>
      </w:r>
      <w:r>
        <w:rPr>
          <w:rFonts w:ascii="Times New Roman" w:eastAsia="仿宋" w:hAnsi="Times New Roman"/>
          <w:color w:val="000000" w:themeColor="text1"/>
          <w:sz w:val="32"/>
          <w:szCs w:val="32"/>
          <w:vertAlign w:val="subscript"/>
        </w:rPr>
        <w:t>i</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T)</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T×100%……</w:t>
      </w:r>
      <w:proofErr w:type="gramStart"/>
      <w:r>
        <w:rPr>
          <w:rFonts w:ascii="Times New Roman" w:eastAsia="仿宋" w:hAnsi="Times New Roman"/>
          <w:color w:val="000000" w:themeColor="text1"/>
          <w:sz w:val="32"/>
          <w:szCs w:val="32"/>
        </w:rPr>
        <w:t>…………………………</w:t>
      </w:r>
      <w:proofErr w:type="gramEnd"/>
      <w:r>
        <w:rPr>
          <w:rFonts w:ascii="Times New Roman" w:eastAsia="仿宋" w:hAnsi="仿宋"/>
          <w:color w:val="000000" w:themeColor="text1"/>
          <w:sz w:val="32"/>
          <w:szCs w:val="32"/>
        </w:rPr>
        <w:t>（</w:t>
      </w:r>
      <w:r>
        <w:rPr>
          <w:rFonts w:ascii="Times New Roman" w:eastAsia="仿宋" w:hAnsi="Times New Roman" w:hint="eastAsia"/>
          <w:color w:val="000000" w:themeColor="text1"/>
          <w:sz w:val="32"/>
          <w:szCs w:val="32"/>
        </w:rPr>
        <w:t>4</w:t>
      </w:r>
      <w:r>
        <w:rPr>
          <w:rFonts w:ascii="Times New Roman" w:eastAsia="仿宋" w:hAnsi="仿宋"/>
          <w:color w:val="000000" w:themeColor="text1"/>
          <w:sz w:val="32"/>
          <w:szCs w:val="32"/>
        </w:rPr>
        <w:t>）</w:t>
      </w:r>
    </w:p>
    <w:p w:rsidR="00990962" w:rsidRDefault="00806EEC">
      <w:pPr>
        <w:pStyle w:val="a8"/>
        <w:adjustRightInd w:val="0"/>
        <w:snapToGrid w:val="0"/>
        <w:spacing w:line="520" w:lineRule="exact"/>
        <w:ind w:left="624" w:firstLineChars="0" w:firstLine="0"/>
        <w:rPr>
          <w:rFonts w:ascii="Times New Roman" w:eastAsia="仿宋" w:hAnsi="Times New Roman"/>
          <w:color w:val="000000" w:themeColor="text1"/>
          <w:sz w:val="32"/>
          <w:szCs w:val="32"/>
        </w:rPr>
      </w:pPr>
      <w:r>
        <w:rPr>
          <w:rFonts w:ascii="Times New Roman" w:eastAsia="仿宋" w:hAnsi="仿宋"/>
          <w:color w:val="000000" w:themeColor="text1"/>
          <w:sz w:val="32"/>
          <w:szCs w:val="32"/>
        </w:rPr>
        <w:t>式中：</w:t>
      </w:r>
      <w:r>
        <w:rPr>
          <w:rFonts w:ascii="Times New Roman" w:eastAsia="仿宋" w:hAnsi="Times New Roman"/>
          <w:color w:val="000000" w:themeColor="text1"/>
          <w:sz w:val="32"/>
          <w:szCs w:val="32"/>
        </w:rPr>
        <w:t>x</w:t>
      </w:r>
      <w:r>
        <w:rPr>
          <w:rFonts w:ascii="Times New Roman" w:eastAsia="仿宋" w:hAnsi="Times New Roman"/>
          <w:color w:val="000000" w:themeColor="text1"/>
          <w:sz w:val="32"/>
          <w:szCs w:val="32"/>
          <w:vertAlign w:val="subscript"/>
        </w:rPr>
        <w:t>i</w:t>
      </w:r>
      <w:r>
        <w:rPr>
          <w:rFonts w:ascii="Times New Roman" w:eastAsia="仿宋" w:hAnsi="仿宋"/>
          <w:color w:val="000000" w:themeColor="text1"/>
          <w:sz w:val="32"/>
          <w:szCs w:val="32"/>
        </w:rPr>
        <w:t>为测试结果，</w:t>
      </w:r>
      <w:r>
        <w:rPr>
          <w:rFonts w:ascii="Times New Roman" w:eastAsia="仿宋" w:hAnsi="Times New Roman"/>
          <w:color w:val="000000" w:themeColor="text1"/>
          <w:sz w:val="32"/>
          <w:szCs w:val="32"/>
        </w:rPr>
        <w:t>T</w:t>
      </w:r>
      <w:r>
        <w:rPr>
          <w:rFonts w:ascii="Times New Roman" w:eastAsia="仿宋" w:hAnsi="仿宋"/>
          <w:color w:val="000000" w:themeColor="text1"/>
          <w:sz w:val="32"/>
          <w:szCs w:val="32"/>
        </w:rPr>
        <w:t>为有证参考物质标示值。</w:t>
      </w:r>
    </w:p>
    <w:p w:rsidR="00990962" w:rsidRDefault="00806EEC">
      <w:pPr>
        <w:pStyle w:val="a8"/>
        <w:numPr>
          <w:ilvl w:val="0"/>
          <w:numId w:val="1"/>
        </w:numPr>
        <w:adjustRightInd w:val="0"/>
        <w:snapToGrid w:val="0"/>
        <w:spacing w:line="520" w:lineRule="exact"/>
        <w:ind w:left="0" w:firstLine="624"/>
        <w:rPr>
          <w:rFonts w:ascii="Times New Roman" w:eastAsia="仿宋" w:hAnsi="Times New Roman"/>
          <w:color w:val="000000" w:themeColor="text1"/>
          <w:sz w:val="32"/>
          <w:szCs w:val="32"/>
        </w:rPr>
      </w:pPr>
      <w:r>
        <w:rPr>
          <w:rFonts w:ascii="Times New Roman" w:eastAsia="仿宋" w:hAnsi="仿宋" w:hint="eastAsia"/>
          <w:color w:val="000000" w:themeColor="text1"/>
          <w:sz w:val="32"/>
          <w:szCs w:val="32"/>
        </w:rPr>
        <w:t>比对试验：</w:t>
      </w:r>
      <w:r>
        <w:rPr>
          <w:rFonts w:ascii="Times New Roman" w:eastAsia="仿宋" w:hAnsi="Times New Roman" w:hint="eastAsia"/>
          <w:color w:val="000000" w:themeColor="text1"/>
          <w:sz w:val="32"/>
          <w:szCs w:val="32"/>
        </w:rPr>
        <w:t>参照</w:t>
      </w:r>
      <w:r>
        <w:rPr>
          <w:rFonts w:ascii="Times New Roman" w:eastAsia="仿宋" w:hAnsi="Times New Roman" w:hint="eastAsia"/>
          <w:color w:val="000000" w:themeColor="text1"/>
          <w:sz w:val="32"/>
          <w:szCs w:val="32"/>
        </w:rPr>
        <w:t>CLSI EP9-A2</w:t>
      </w:r>
      <w:r>
        <w:rPr>
          <w:rFonts w:ascii="Times New Roman" w:eastAsia="仿宋" w:hAnsi="Times New Roman" w:hint="eastAsia"/>
          <w:color w:val="000000" w:themeColor="text1"/>
          <w:sz w:val="32"/>
          <w:szCs w:val="32"/>
        </w:rPr>
        <w:t>的方法，用不少于</w:t>
      </w:r>
      <w:r>
        <w:rPr>
          <w:rFonts w:ascii="Times New Roman" w:eastAsia="仿宋" w:hAnsi="Times New Roman" w:hint="eastAsia"/>
          <w:color w:val="000000" w:themeColor="text1"/>
          <w:sz w:val="32"/>
          <w:szCs w:val="32"/>
        </w:rPr>
        <w:t>40</w:t>
      </w:r>
      <w:r>
        <w:rPr>
          <w:rFonts w:ascii="Times New Roman" w:eastAsia="仿宋" w:hAnsi="Times New Roman" w:hint="eastAsia"/>
          <w:color w:val="000000" w:themeColor="text1"/>
          <w:sz w:val="32"/>
          <w:szCs w:val="32"/>
        </w:rPr>
        <w:t>个在检测浓度范围内不同浓度的人源样品，以生产企业指定的分析系统作为比对方法，每份样本按待测试剂（盒）操作方法及比对方法分别检测，</w:t>
      </w:r>
      <w:r>
        <w:rPr>
          <w:rFonts w:ascii="Times New Roman" w:eastAsia="仿宋" w:hAnsi="仿宋" w:hint="eastAsia"/>
          <w:color w:val="000000" w:themeColor="text1"/>
          <w:sz w:val="32"/>
          <w:szCs w:val="32"/>
        </w:rPr>
        <w:t>用线性回归的方法计算两组结果的相关系数</w:t>
      </w:r>
      <w:r>
        <w:rPr>
          <w:rFonts w:ascii="Times New Roman" w:eastAsia="仿宋" w:hAnsi="仿宋" w:hint="eastAsia"/>
          <w:color w:val="000000" w:themeColor="text1"/>
          <w:sz w:val="32"/>
          <w:szCs w:val="32"/>
        </w:rPr>
        <w:t>r</w:t>
      </w:r>
      <w:r>
        <w:rPr>
          <w:rFonts w:ascii="Times New Roman" w:eastAsia="仿宋" w:hAnsi="仿宋" w:hint="eastAsia"/>
          <w:color w:val="000000" w:themeColor="text1"/>
          <w:sz w:val="32"/>
          <w:szCs w:val="32"/>
        </w:rPr>
        <w:t>和每个浓度点的偏差，应符合企业规定的要求。</w:t>
      </w:r>
    </w:p>
    <w:p w:rsidR="00990962" w:rsidRDefault="00806EEC">
      <w:pPr>
        <w:pStyle w:val="a8"/>
        <w:numPr>
          <w:ilvl w:val="0"/>
          <w:numId w:val="1"/>
        </w:numPr>
        <w:adjustRightInd w:val="0"/>
        <w:snapToGrid w:val="0"/>
        <w:spacing w:line="520" w:lineRule="exact"/>
        <w:ind w:left="0" w:firstLine="624"/>
        <w:rPr>
          <w:rFonts w:ascii="Times New Roman" w:eastAsia="仿宋" w:hAnsi="Times New Roman"/>
          <w:color w:val="000000" w:themeColor="text1"/>
          <w:sz w:val="32"/>
          <w:szCs w:val="32"/>
        </w:rPr>
      </w:pPr>
      <w:r>
        <w:rPr>
          <w:rFonts w:ascii="Times New Roman" w:eastAsia="仿宋" w:hAnsi="仿宋" w:hint="eastAsia"/>
          <w:color w:val="000000" w:themeColor="text1"/>
          <w:sz w:val="32"/>
          <w:szCs w:val="32"/>
        </w:rPr>
        <w:t>回</w:t>
      </w:r>
      <w:r>
        <w:rPr>
          <w:rFonts w:ascii="Times New Roman" w:eastAsia="仿宋" w:hAnsi="Times New Roman" w:hint="eastAsia"/>
          <w:color w:val="000000" w:themeColor="text1"/>
          <w:sz w:val="32"/>
          <w:szCs w:val="32"/>
        </w:rPr>
        <w:t>收率：</w:t>
      </w:r>
      <w:r>
        <w:rPr>
          <w:rFonts w:ascii="Times New Roman" w:eastAsia="仿宋" w:hAnsi="仿宋" w:hint="eastAsia"/>
          <w:color w:val="000000" w:themeColor="text1"/>
          <w:sz w:val="32"/>
          <w:szCs w:val="32"/>
        </w:rPr>
        <w:t>人源样品中加入一定体积标准溶液（标准溶液体积和人源样品体积比应不会产生基质的变化，加入标准溶液后样品总浓度必须在试剂检测线性范围内）或纯品，每个浓度重复检测三次，按公式（</w:t>
      </w:r>
      <w:r>
        <w:rPr>
          <w:rFonts w:ascii="Times New Roman" w:eastAsia="仿宋" w:hAnsi="仿宋" w:hint="eastAsia"/>
          <w:color w:val="000000" w:themeColor="text1"/>
          <w:sz w:val="32"/>
          <w:szCs w:val="32"/>
        </w:rPr>
        <w:t>5</w:t>
      </w:r>
      <w:r>
        <w:rPr>
          <w:rFonts w:ascii="Times New Roman" w:eastAsia="仿宋" w:hAnsi="仿宋" w:hint="eastAsia"/>
          <w:color w:val="000000" w:themeColor="text1"/>
          <w:sz w:val="32"/>
          <w:szCs w:val="32"/>
        </w:rPr>
        <w:t>）计算回收率，</w:t>
      </w:r>
      <w:r>
        <w:rPr>
          <w:rFonts w:ascii="Times New Roman" w:eastAsia="仿宋" w:hAnsi="Times New Roman" w:hint="eastAsia"/>
          <w:color w:val="000000" w:themeColor="text1"/>
          <w:sz w:val="32"/>
          <w:szCs w:val="32"/>
        </w:rPr>
        <w:t>应符合企业规定的要求。</w:t>
      </w:r>
    </w:p>
    <w:p w:rsidR="00990962" w:rsidRDefault="00990962">
      <w:pPr>
        <w:pStyle w:val="a8"/>
        <w:adjustRightInd w:val="0"/>
        <w:snapToGrid w:val="0"/>
        <w:spacing w:line="520" w:lineRule="exact"/>
        <w:ind w:firstLineChars="0"/>
        <w:rPr>
          <w:rFonts w:ascii="Times New Roman" w:eastAsia="仿宋" w:hAnsi="仿宋"/>
          <w:color w:val="000000" w:themeColor="text1"/>
          <w:sz w:val="32"/>
          <w:szCs w:val="32"/>
        </w:rPr>
      </w:pPr>
    </w:p>
    <w:p w:rsidR="00990962" w:rsidRDefault="00990962">
      <w:pPr>
        <w:pStyle w:val="a8"/>
        <w:adjustRightInd w:val="0"/>
        <w:snapToGrid w:val="0"/>
        <w:spacing w:line="520" w:lineRule="exact"/>
        <w:ind w:firstLineChars="650" w:firstLine="2340"/>
        <w:rPr>
          <w:rFonts w:ascii="Times New Roman" w:eastAsia="仿宋" w:hAnsi="Times New Roman"/>
          <w:color w:val="000000" w:themeColor="text1"/>
          <w:sz w:val="32"/>
          <w:szCs w:val="32"/>
        </w:rPr>
      </w:pPr>
      <w:r w:rsidRPr="00990962">
        <w:rPr>
          <w:rFonts w:hint="eastAsia"/>
          <w:color w:val="000000" w:themeColor="text1"/>
          <w:position w:val="-30"/>
          <w:sz w:val="36"/>
          <w:szCs w:val="44"/>
        </w:rPr>
        <w:object w:dxaOrig="2181" w:dyaOrig="680">
          <v:shape id="_x0000_i1033" type="#_x0000_t75" style="width:107.25pt;height:33.75pt" o:ole="">
            <v:imagedata r:id="rId30" o:title=""/>
          </v:shape>
          <o:OLEObject Type="Embed" ProgID="Equation.3" ShapeID="_x0000_i1033" DrawAspect="Content" ObjectID="_1537525932" r:id="rId31"/>
        </w:object>
      </w:r>
      <w:r w:rsidR="00806EEC">
        <w:rPr>
          <w:rFonts w:ascii="Times New Roman" w:eastAsia="仿宋" w:hAnsi="Times New Roman"/>
          <w:color w:val="000000" w:themeColor="text1"/>
          <w:sz w:val="32"/>
          <w:szCs w:val="32"/>
        </w:rPr>
        <w:t>…………………………</w:t>
      </w:r>
      <w:r w:rsidR="00806EEC">
        <w:rPr>
          <w:rFonts w:ascii="Times New Roman" w:eastAsia="仿宋" w:hAnsi="仿宋"/>
          <w:color w:val="000000" w:themeColor="text1"/>
          <w:sz w:val="32"/>
          <w:szCs w:val="32"/>
        </w:rPr>
        <w:t>（</w:t>
      </w:r>
      <w:r w:rsidR="00806EEC">
        <w:rPr>
          <w:rFonts w:ascii="Times New Roman" w:eastAsia="仿宋" w:hAnsi="Times New Roman" w:hint="eastAsia"/>
          <w:color w:val="000000" w:themeColor="text1"/>
          <w:sz w:val="32"/>
          <w:szCs w:val="32"/>
        </w:rPr>
        <w:t>5</w:t>
      </w:r>
      <w:r w:rsidR="00806EEC">
        <w:rPr>
          <w:rFonts w:ascii="Times New Roman" w:eastAsia="仿宋" w:hAnsi="仿宋"/>
          <w:color w:val="000000" w:themeColor="text1"/>
          <w:sz w:val="32"/>
          <w:szCs w:val="32"/>
        </w:rPr>
        <w:t>）</w:t>
      </w:r>
    </w:p>
    <w:p w:rsidR="00990962" w:rsidRDefault="00806EEC">
      <w:pPr>
        <w:pStyle w:val="a8"/>
        <w:adjustRightInd w:val="0"/>
        <w:snapToGrid w:val="0"/>
        <w:spacing w:line="520" w:lineRule="exact"/>
        <w:ind w:left="624" w:firstLineChars="0" w:firstLine="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式中：</w:t>
      </w:r>
    </w:p>
    <w:p w:rsidR="00990962" w:rsidRDefault="00806EEC">
      <w:pPr>
        <w:pStyle w:val="a8"/>
        <w:adjustRightInd w:val="0"/>
        <w:snapToGrid w:val="0"/>
        <w:spacing w:line="520" w:lineRule="exact"/>
        <w:ind w:left="624" w:firstLineChars="0" w:firstLine="0"/>
        <w:rPr>
          <w:rFonts w:ascii="Times New Roman" w:eastAsia="仿宋" w:hAnsi="仿宋"/>
          <w:color w:val="000000" w:themeColor="text1"/>
          <w:sz w:val="28"/>
          <w:szCs w:val="28"/>
        </w:rPr>
      </w:pPr>
      <w:r>
        <w:rPr>
          <w:rFonts w:ascii="Times New Roman" w:eastAsia="仿宋" w:hAnsi="Times New Roman" w:hint="eastAsia"/>
          <w:color w:val="000000" w:themeColor="text1"/>
          <w:sz w:val="32"/>
          <w:szCs w:val="32"/>
        </w:rPr>
        <w:t>R</w:t>
      </w:r>
      <w:r>
        <w:rPr>
          <w:rFonts w:ascii="Times New Roman" w:eastAsia="仿宋" w:hAnsi="Times New Roman" w:hint="eastAsia"/>
          <w:color w:val="000000" w:themeColor="text1"/>
          <w:sz w:val="32"/>
          <w:szCs w:val="32"/>
          <w:vertAlign w:val="subscript"/>
        </w:rPr>
        <w:t xml:space="preserve"> </w:t>
      </w:r>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回收率；</w:t>
      </w:r>
    </w:p>
    <w:p w:rsidR="00990962" w:rsidRDefault="00806EEC">
      <w:pPr>
        <w:pStyle w:val="a8"/>
        <w:adjustRightInd w:val="0"/>
        <w:snapToGrid w:val="0"/>
        <w:spacing w:line="520" w:lineRule="exact"/>
        <w:ind w:left="624" w:firstLineChars="0" w:firstLine="0"/>
        <w:rPr>
          <w:rFonts w:ascii="Times New Roman" w:eastAsia="仿宋" w:hAnsi="仿宋"/>
          <w:color w:val="000000" w:themeColor="text1"/>
          <w:sz w:val="28"/>
          <w:szCs w:val="28"/>
        </w:rPr>
      </w:pPr>
      <w:r>
        <w:rPr>
          <w:rFonts w:ascii="Times New Roman" w:eastAsia="仿宋" w:hAnsi="Times New Roman" w:hint="eastAsia"/>
          <w:color w:val="000000" w:themeColor="text1"/>
          <w:sz w:val="32"/>
          <w:szCs w:val="32"/>
        </w:rPr>
        <w:t>V</w:t>
      </w:r>
      <w:r>
        <w:rPr>
          <w:rFonts w:ascii="Times New Roman" w:eastAsia="仿宋" w:hAnsi="Times New Roman" w:hint="eastAsia"/>
          <w:color w:val="000000" w:themeColor="text1"/>
          <w:sz w:val="32"/>
          <w:szCs w:val="32"/>
          <w:vertAlign w:val="subscript"/>
        </w:rPr>
        <w:t xml:space="preserve"> </w:t>
      </w:r>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加入标准溶液体积；</w:t>
      </w:r>
    </w:p>
    <w:p w:rsidR="00990962" w:rsidRDefault="00806EEC">
      <w:pPr>
        <w:pStyle w:val="a8"/>
        <w:adjustRightInd w:val="0"/>
        <w:snapToGrid w:val="0"/>
        <w:spacing w:line="520" w:lineRule="exact"/>
        <w:ind w:left="624" w:firstLineChars="0" w:firstLine="0"/>
        <w:rPr>
          <w:rFonts w:ascii="Times New Roman" w:eastAsia="仿宋" w:hAnsi="仿宋"/>
          <w:color w:val="000000" w:themeColor="text1"/>
          <w:sz w:val="28"/>
          <w:szCs w:val="28"/>
        </w:rPr>
      </w:pPr>
      <w:r>
        <w:rPr>
          <w:rFonts w:ascii="Times New Roman" w:eastAsia="仿宋" w:hAnsi="Times New Roman" w:hint="eastAsia"/>
          <w:color w:val="000000" w:themeColor="text1"/>
          <w:sz w:val="32"/>
          <w:szCs w:val="32"/>
        </w:rPr>
        <w:lastRenderedPageBreak/>
        <w:t>V</w:t>
      </w:r>
      <w:r>
        <w:rPr>
          <w:rFonts w:ascii="Times New Roman" w:eastAsia="仿宋" w:hAnsi="Times New Roman" w:hint="eastAsia"/>
          <w:color w:val="000000" w:themeColor="text1"/>
          <w:sz w:val="32"/>
          <w:szCs w:val="32"/>
          <w:vertAlign w:val="subscript"/>
        </w:rPr>
        <w:t>0</w:t>
      </w:r>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人源样品体积；</w:t>
      </w:r>
    </w:p>
    <w:p w:rsidR="00990962" w:rsidRDefault="00806EEC">
      <w:pPr>
        <w:pStyle w:val="a8"/>
        <w:adjustRightInd w:val="0"/>
        <w:snapToGrid w:val="0"/>
        <w:spacing w:line="520" w:lineRule="exact"/>
        <w:ind w:left="624" w:firstLineChars="0" w:firstLine="0"/>
        <w:rPr>
          <w:rFonts w:ascii="Times New Roman" w:eastAsia="仿宋" w:hAnsi="仿宋"/>
          <w:color w:val="000000" w:themeColor="text1"/>
          <w:sz w:val="28"/>
          <w:szCs w:val="28"/>
        </w:rPr>
      </w:pPr>
      <w:r>
        <w:rPr>
          <w:rFonts w:ascii="Times New Roman" w:eastAsia="仿宋" w:hAnsi="Times New Roman"/>
          <w:color w:val="000000" w:themeColor="text1"/>
          <w:sz w:val="32"/>
          <w:szCs w:val="32"/>
        </w:rPr>
        <w:t>c</w:t>
      </w:r>
      <w:r>
        <w:rPr>
          <w:rFonts w:ascii="Times New Roman" w:eastAsia="仿宋" w:hAnsi="Times New Roman" w:hint="eastAsia"/>
          <w:color w:val="000000" w:themeColor="text1"/>
          <w:sz w:val="32"/>
          <w:szCs w:val="32"/>
          <w:vertAlign w:val="subscript"/>
        </w:rPr>
        <w:t xml:space="preserve"> </w:t>
      </w:r>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人源样品加入标准溶液后的检测浓度；</w:t>
      </w:r>
    </w:p>
    <w:p w:rsidR="00990962" w:rsidRDefault="00806EEC">
      <w:pPr>
        <w:pStyle w:val="a8"/>
        <w:adjustRightInd w:val="0"/>
        <w:snapToGrid w:val="0"/>
        <w:spacing w:line="520" w:lineRule="exact"/>
        <w:ind w:left="624" w:firstLineChars="0" w:firstLine="0"/>
        <w:rPr>
          <w:rFonts w:ascii="Times New Roman" w:eastAsia="仿宋" w:hAnsi="仿宋"/>
          <w:color w:val="000000" w:themeColor="text1"/>
          <w:sz w:val="28"/>
          <w:szCs w:val="28"/>
        </w:rPr>
      </w:pPr>
      <w:r>
        <w:rPr>
          <w:rFonts w:ascii="Times New Roman" w:eastAsia="仿宋" w:hAnsi="Times New Roman" w:hint="eastAsia"/>
          <w:color w:val="000000" w:themeColor="text1"/>
          <w:sz w:val="32"/>
          <w:szCs w:val="32"/>
        </w:rPr>
        <w:t>c</w:t>
      </w:r>
      <w:r>
        <w:rPr>
          <w:rFonts w:ascii="Times New Roman" w:eastAsia="仿宋" w:hAnsi="Times New Roman" w:hint="eastAsia"/>
          <w:color w:val="000000" w:themeColor="text1"/>
          <w:sz w:val="32"/>
          <w:szCs w:val="32"/>
          <w:vertAlign w:val="subscript"/>
        </w:rPr>
        <w:t>0</w:t>
      </w:r>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人源样品的检测浓度；</w:t>
      </w:r>
    </w:p>
    <w:p w:rsidR="00990962" w:rsidRDefault="00806EEC">
      <w:pPr>
        <w:pStyle w:val="a8"/>
        <w:adjustRightInd w:val="0"/>
        <w:snapToGrid w:val="0"/>
        <w:spacing w:line="520" w:lineRule="exact"/>
        <w:ind w:firstLineChars="0" w:firstLine="624"/>
        <w:rPr>
          <w:rFonts w:ascii="Times New Roman" w:eastAsia="仿宋" w:hAnsi="Times New Roman"/>
          <w:color w:val="000000" w:themeColor="text1"/>
          <w:sz w:val="32"/>
          <w:szCs w:val="32"/>
        </w:rPr>
      </w:pPr>
      <w:proofErr w:type="spellStart"/>
      <w:r>
        <w:rPr>
          <w:rFonts w:ascii="Times New Roman" w:eastAsia="仿宋" w:hAnsi="Times New Roman" w:hint="eastAsia"/>
          <w:color w:val="000000" w:themeColor="text1"/>
          <w:sz w:val="32"/>
          <w:szCs w:val="32"/>
        </w:rPr>
        <w:t>c</w:t>
      </w:r>
      <w:r>
        <w:rPr>
          <w:rFonts w:ascii="Times New Roman" w:eastAsia="仿宋" w:hAnsi="Times New Roman" w:hint="eastAsia"/>
          <w:color w:val="000000" w:themeColor="text1"/>
          <w:sz w:val="32"/>
          <w:szCs w:val="32"/>
          <w:vertAlign w:val="subscript"/>
        </w:rPr>
        <w:t>s</w:t>
      </w:r>
      <w:proofErr w:type="spellEnd"/>
      <w:r>
        <w:rPr>
          <w:rFonts w:ascii="Times New Roman" w:eastAsia="仿宋" w:hAnsi="Times New Roman" w:hint="eastAsia"/>
          <w:color w:val="000000" w:themeColor="text1"/>
          <w:sz w:val="32"/>
          <w:szCs w:val="32"/>
        </w:rPr>
        <w:t xml:space="preserve">  </w:t>
      </w:r>
      <w:r>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 xml:space="preserve"> </w:t>
      </w:r>
      <w:r>
        <w:rPr>
          <w:rFonts w:ascii="Times New Roman" w:eastAsia="仿宋" w:hAnsi="仿宋" w:hint="eastAsia"/>
          <w:color w:val="000000" w:themeColor="text1"/>
          <w:sz w:val="28"/>
          <w:szCs w:val="28"/>
        </w:rPr>
        <w:t>标准溶液浓度。</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9</w:t>
      </w:r>
      <w:r>
        <w:rPr>
          <w:rFonts w:ascii="Times New Roman" w:eastAsia="仿宋" w:hAnsi="仿宋"/>
          <w:color w:val="000000" w:themeColor="text1"/>
          <w:sz w:val="32"/>
          <w:szCs w:val="32"/>
        </w:rPr>
        <w:t>）稳定性</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到期样品进行检测，方法同各项目要求。</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效期稳定性：生产企业应规定产品的有效期。试剂（盒）在规定的贮存条件下保存至有效期末，产品的性能应符合试剂空白吸光度、分析灵敏度、线性、重复性和准确度的要求（即除外观、装量、</w:t>
      </w:r>
      <w:proofErr w:type="gramStart"/>
      <w:r>
        <w:rPr>
          <w:rFonts w:ascii="Times New Roman" w:eastAsia="仿宋" w:hAnsi="仿宋"/>
          <w:color w:val="000000" w:themeColor="text1"/>
          <w:sz w:val="32"/>
          <w:szCs w:val="32"/>
        </w:rPr>
        <w:t>批间差</w:t>
      </w:r>
      <w:proofErr w:type="gramEnd"/>
      <w:r>
        <w:rPr>
          <w:rFonts w:ascii="Times New Roman" w:eastAsia="仿宋" w:hAnsi="仿宋"/>
          <w:color w:val="000000" w:themeColor="text1"/>
          <w:sz w:val="32"/>
          <w:szCs w:val="32"/>
        </w:rPr>
        <w:t>外的所有要求）。</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hint="eastAsia"/>
          <w:color w:val="000000" w:themeColor="text1"/>
          <w:sz w:val="32"/>
          <w:szCs w:val="32"/>
        </w:rPr>
        <w:t>热稳定性不能用于推导产品有效期，除非是采用基于大量稳定性研究数据建立的推导公式。</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冻干品应同时</w:t>
      </w:r>
      <w:proofErr w:type="gramStart"/>
      <w:r>
        <w:rPr>
          <w:rFonts w:ascii="Times New Roman" w:eastAsia="仿宋" w:hAnsi="仿宋"/>
          <w:color w:val="000000" w:themeColor="text1"/>
          <w:sz w:val="32"/>
          <w:szCs w:val="32"/>
        </w:rPr>
        <w:t>进行复溶稳定性试验</w:t>
      </w:r>
      <w:proofErr w:type="gramEnd"/>
      <w:r>
        <w:rPr>
          <w:rFonts w:ascii="Times New Roman" w:eastAsia="仿宋" w:hAnsi="仿宋"/>
          <w:color w:val="000000" w:themeColor="text1"/>
          <w:sz w:val="32"/>
          <w:szCs w:val="32"/>
        </w:rPr>
        <w:t>，复溶后放置到有效期末，产品性能应符合除外观、装量、</w:t>
      </w:r>
      <w:proofErr w:type="gramStart"/>
      <w:r>
        <w:rPr>
          <w:rFonts w:ascii="Times New Roman" w:eastAsia="仿宋" w:hAnsi="仿宋"/>
          <w:color w:val="000000" w:themeColor="text1"/>
          <w:sz w:val="32"/>
          <w:szCs w:val="32"/>
        </w:rPr>
        <w:t>批间差</w:t>
      </w:r>
      <w:proofErr w:type="gramEnd"/>
      <w:r>
        <w:rPr>
          <w:rFonts w:ascii="Times New Roman" w:eastAsia="仿宋" w:hAnsi="仿宋"/>
          <w:color w:val="000000" w:themeColor="text1"/>
          <w:sz w:val="32"/>
          <w:szCs w:val="32"/>
        </w:rPr>
        <w:t>外的所有要求。</w:t>
      </w:r>
    </w:p>
    <w:p w:rsidR="00990962" w:rsidRDefault="00806EEC">
      <w:pPr>
        <w:pStyle w:val="a8"/>
        <w:adjustRightInd w:val="0"/>
        <w:snapToGrid w:val="0"/>
        <w:spacing w:line="520" w:lineRule="exact"/>
        <w:ind w:firstLine="624"/>
        <w:rPr>
          <w:rFonts w:ascii="Times New Roman" w:eastAsia="仿宋" w:hAnsi="Times New Roman"/>
          <w:color w:val="000000" w:themeColor="text1"/>
          <w:sz w:val="32"/>
          <w:szCs w:val="32"/>
        </w:rPr>
      </w:pP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10</w:t>
      </w:r>
      <w:r>
        <w:rPr>
          <w:rFonts w:ascii="Times New Roman" w:eastAsia="仿宋" w:hAnsi="仿宋"/>
          <w:color w:val="000000" w:themeColor="text1"/>
          <w:sz w:val="32"/>
          <w:szCs w:val="32"/>
        </w:rPr>
        <w:t>）校准品和</w:t>
      </w:r>
      <w:proofErr w:type="gramStart"/>
      <w:r>
        <w:rPr>
          <w:rFonts w:ascii="Times New Roman" w:eastAsia="仿宋" w:hAnsi="仿宋"/>
          <w:color w:val="000000" w:themeColor="text1"/>
          <w:sz w:val="32"/>
          <w:szCs w:val="32"/>
        </w:rPr>
        <w:t>质控</w:t>
      </w:r>
      <w:proofErr w:type="gramEnd"/>
      <w:r>
        <w:rPr>
          <w:rFonts w:ascii="Times New Roman" w:eastAsia="仿宋" w:hAnsi="仿宋"/>
          <w:color w:val="000000" w:themeColor="text1"/>
          <w:sz w:val="32"/>
          <w:szCs w:val="32"/>
        </w:rPr>
        <w:t>品（如适用）</w:t>
      </w:r>
    </w:p>
    <w:p w:rsidR="00990962" w:rsidRDefault="00806EEC">
      <w:pPr>
        <w:pStyle w:val="a8"/>
        <w:adjustRightInd w:val="0"/>
        <w:snapToGrid w:val="0"/>
        <w:spacing w:line="520" w:lineRule="exact"/>
        <w:ind w:firstLine="624"/>
        <w:rPr>
          <w:rFonts w:ascii="Times New Roman" w:eastAsia="仿宋" w:hAnsi="仿宋"/>
          <w:color w:val="000000" w:themeColor="text1"/>
          <w:sz w:val="32"/>
          <w:szCs w:val="32"/>
        </w:rPr>
      </w:pPr>
      <w:r>
        <w:rPr>
          <w:rFonts w:ascii="Times New Roman" w:eastAsia="仿宋" w:hAnsi="仿宋"/>
          <w:color w:val="000000" w:themeColor="text1"/>
          <w:sz w:val="32"/>
          <w:szCs w:val="32"/>
        </w:rPr>
        <w:t>至少应包括外观、装量（干粉试剂可不做）、准确性（非定值</w:t>
      </w:r>
      <w:proofErr w:type="gramStart"/>
      <w:r>
        <w:rPr>
          <w:rFonts w:ascii="Times New Roman" w:eastAsia="仿宋" w:hAnsi="仿宋"/>
          <w:color w:val="000000" w:themeColor="text1"/>
          <w:sz w:val="32"/>
          <w:szCs w:val="32"/>
        </w:rPr>
        <w:t>质控品没有</w:t>
      </w:r>
      <w:proofErr w:type="gramEnd"/>
      <w:r>
        <w:rPr>
          <w:rFonts w:ascii="Times New Roman" w:eastAsia="仿宋" w:hAnsi="仿宋"/>
          <w:color w:val="000000" w:themeColor="text1"/>
          <w:sz w:val="32"/>
          <w:szCs w:val="32"/>
        </w:rPr>
        <w:t>测量准确度要求）、均</w:t>
      </w:r>
      <w:proofErr w:type="gramStart"/>
      <w:r>
        <w:rPr>
          <w:rFonts w:ascii="Times New Roman" w:eastAsia="仿宋" w:hAnsi="仿宋"/>
          <w:color w:val="000000" w:themeColor="text1"/>
          <w:sz w:val="32"/>
          <w:szCs w:val="32"/>
        </w:rPr>
        <w:t>一</w:t>
      </w:r>
      <w:proofErr w:type="gramEnd"/>
      <w:r>
        <w:rPr>
          <w:rFonts w:ascii="Times New Roman" w:eastAsia="仿宋" w:hAnsi="仿宋"/>
          <w:color w:val="000000" w:themeColor="text1"/>
          <w:sz w:val="32"/>
          <w:szCs w:val="32"/>
        </w:rPr>
        <w:t>性、稳定性。干粉或冻干品应包含</w:t>
      </w:r>
      <w:proofErr w:type="gramStart"/>
      <w:r>
        <w:rPr>
          <w:rFonts w:ascii="Times New Roman" w:eastAsia="仿宋" w:hAnsi="仿宋"/>
          <w:color w:val="000000" w:themeColor="text1"/>
          <w:sz w:val="32"/>
          <w:szCs w:val="32"/>
        </w:rPr>
        <w:t>批内瓶间差、复溶</w:t>
      </w:r>
      <w:proofErr w:type="gramEnd"/>
      <w:r>
        <w:rPr>
          <w:rFonts w:ascii="Times New Roman" w:eastAsia="仿宋" w:hAnsi="仿宋"/>
          <w:color w:val="000000" w:themeColor="text1"/>
          <w:sz w:val="32"/>
          <w:szCs w:val="32"/>
        </w:rPr>
        <w:t>稳定性。</w:t>
      </w:r>
    </w:p>
    <w:p w:rsidR="00990962" w:rsidRDefault="00806EEC">
      <w:pPr>
        <w:spacing w:line="520" w:lineRule="exact"/>
        <w:ind w:firstLineChars="200" w:firstLine="640"/>
        <w:rPr>
          <w:rFonts w:eastAsia="楷体"/>
          <w:color w:val="000000" w:themeColor="text1"/>
          <w:sz w:val="32"/>
          <w:szCs w:val="32"/>
        </w:rPr>
      </w:pPr>
      <w:r>
        <w:rPr>
          <w:rFonts w:eastAsia="楷体" w:hAnsi="楷体"/>
          <w:color w:val="000000" w:themeColor="text1"/>
          <w:sz w:val="32"/>
          <w:szCs w:val="32"/>
        </w:rPr>
        <w:t>（十）产品注册检验报告</w:t>
      </w:r>
    </w:p>
    <w:p w:rsidR="00990962" w:rsidRDefault="00806EEC">
      <w:pPr>
        <w:spacing w:line="520" w:lineRule="exact"/>
        <w:ind w:firstLineChars="200" w:firstLine="624"/>
        <w:rPr>
          <w:rFonts w:eastAsia="仿宋" w:hAnsi="仿宋"/>
          <w:color w:val="000000" w:themeColor="text1"/>
          <w:spacing w:val="-4"/>
          <w:sz w:val="32"/>
          <w:szCs w:val="32"/>
        </w:rPr>
      </w:pPr>
      <w:r>
        <w:rPr>
          <w:rFonts w:eastAsia="仿宋" w:hAnsi="仿宋"/>
          <w:color w:val="000000" w:themeColor="text1"/>
          <w:spacing w:val="-4"/>
          <w:sz w:val="32"/>
          <w:szCs w:val="32"/>
        </w:rPr>
        <w:t>根据《体外诊断试剂注册管理办法》要求，首次申请注册的第二类产品应该在具有相应医疗器械检验资质和承检范围的医疗器械检测机构进行产品的注册检测。对于已经有国家标准品</w:t>
      </w:r>
      <w:r>
        <w:rPr>
          <w:rFonts w:eastAsia="仿宋" w:hAnsi="仿宋" w:hint="eastAsia"/>
          <w:color w:val="000000" w:themeColor="text1"/>
          <w:spacing w:val="-4"/>
          <w:sz w:val="32"/>
          <w:szCs w:val="32"/>
        </w:rPr>
        <w:t>、参考品</w:t>
      </w:r>
      <w:r>
        <w:rPr>
          <w:rFonts w:eastAsia="仿宋" w:hAnsi="仿宋"/>
          <w:color w:val="000000" w:themeColor="text1"/>
          <w:spacing w:val="-4"/>
          <w:sz w:val="32"/>
          <w:szCs w:val="32"/>
        </w:rPr>
        <w:t>的检测项目，在注册检测时应采用相应的国家标准品</w:t>
      </w:r>
      <w:r>
        <w:rPr>
          <w:rFonts w:eastAsia="仿宋" w:hAnsi="仿宋" w:hint="eastAsia"/>
          <w:color w:val="000000" w:themeColor="text1"/>
          <w:spacing w:val="-4"/>
          <w:sz w:val="32"/>
          <w:szCs w:val="32"/>
        </w:rPr>
        <w:t>、参考品</w:t>
      </w:r>
      <w:r>
        <w:rPr>
          <w:rFonts w:eastAsia="仿宋" w:hAnsi="仿宋"/>
          <w:color w:val="000000" w:themeColor="text1"/>
          <w:spacing w:val="-4"/>
          <w:sz w:val="32"/>
          <w:szCs w:val="32"/>
        </w:rPr>
        <w:t>进行</w:t>
      </w:r>
      <w:r>
        <w:rPr>
          <w:rFonts w:eastAsia="仿宋" w:hAnsi="仿宋" w:hint="eastAsia"/>
          <w:color w:val="000000" w:themeColor="text1"/>
          <w:spacing w:val="-4"/>
          <w:sz w:val="32"/>
          <w:szCs w:val="32"/>
        </w:rPr>
        <w:t>注册检验</w:t>
      </w:r>
      <w:r>
        <w:rPr>
          <w:rFonts w:eastAsia="仿宋" w:hAnsi="仿宋"/>
          <w:color w:val="000000" w:themeColor="text1"/>
          <w:spacing w:val="-4"/>
          <w:sz w:val="32"/>
          <w:szCs w:val="32"/>
        </w:rPr>
        <w:t>。注册申报资料中应包括相应的注册检验报告和产品技术要求</w:t>
      </w:r>
      <w:proofErr w:type="gramStart"/>
      <w:r>
        <w:rPr>
          <w:rFonts w:eastAsia="仿宋" w:hAnsi="仿宋"/>
          <w:color w:val="000000" w:themeColor="text1"/>
          <w:spacing w:val="-4"/>
          <w:sz w:val="32"/>
          <w:szCs w:val="32"/>
        </w:rPr>
        <w:t>预评价</w:t>
      </w:r>
      <w:proofErr w:type="gramEnd"/>
      <w:r>
        <w:rPr>
          <w:rFonts w:eastAsia="仿宋" w:hAnsi="仿宋"/>
          <w:color w:val="000000" w:themeColor="text1"/>
          <w:spacing w:val="-4"/>
          <w:sz w:val="32"/>
          <w:szCs w:val="32"/>
        </w:rPr>
        <w:t>意见。</w:t>
      </w:r>
      <w:r>
        <w:rPr>
          <w:rFonts w:eastAsia="仿宋" w:hAnsi="仿宋" w:hint="eastAsia"/>
          <w:color w:val="000000" w:themeColor="text1"/>
          <w:spacing w:val="-4"/>
          <w:sz w:val="32"/>
          <w:szCs w:val="32"/>
        </w:rPr>
        <w:t>注册审查时提出补充检验要求的，应</w:t>
      </w:r>
      <w:r>
        <w:rPr>
          <w:rFonts w:eastAsia="仿宋" w:hAnsi="仿宋" w:hint="eastAsia"/>
          <w:color w:val="000000" w:themeColor="text1"/>
          <w:spacing w:val="-4"/>
          <w:sz w:val="32"/>
          <w:szCs w:val="32"/>
        </w:rPr>
        <w:lastRenderedPageBreak/>
        <w:t>在原检验机构进行检验。</w:t>
      </w:r>
    </w:p>
    <w:p w:rsidR="00990962" w:rsidRDefault="00806EEC">
      <w:pPr>
        <w:spacing w:line="520" w:lineRule="exact"/>
        <w:ind w:firstLineChars="200" w:firstLine="640"/>
        <w:rPr>
          <w:rFonts w:eastAsia="楷体" w:hAnsi="楷体"/>
          <w:color w:val="000000" w:themeColor="text1"/>
          <w:sz w:val="32"/>
          <w:szCs w:val="32"/>
        </w:rPr>
      </w:pPr>
      <w:r>
        <w:rPr>
          <w:rFonts w:eastAsia="楷体" w:hAnsi="楷体"/>
          <w:color w:val="000000" w:themeColor="text1"/>
          <w:sz w:val="32"/>
          <w:szCs w:val="32"/>
        </w:rPr>
        <w:t>（十一）产品说明书</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说明书承载了产品预期用途、检验方法、检验结果的解释以及注意事项等重要信息，是指导实验室工作人员正确操作、临床医生针对检验结果给出合理医学解释的重要依据。因此，产品说明书是体外诊断试剂注册申报最重要的文件之一。产品说明书的格式应符合《关于发布体外诊断试剂说明书编写指导原则的通告》（国家食品药品监督管理总局通告</w:t>
      </w:r>
      <w:r>
        <w:rPr>
          <w:rFonts w:eastAsia="仿宋"/>
          <w:color w:val="000000" w:themeColor="text1"/>
          <w:sz w:val="32"/>
          <w:szCs w:val="30"/>
        </w:rPr>
        <w:t>2014</w:t>
      </w:r>
      <w:r>
        <w:rPr>
          <w:rFonts w:eastAsia="仿宋" w:hAnsi="仿宋"/>
          <w:color w:val="000000" w:themeColor="text1"/>
          <w:sz w:val="32"/>
          <w:szCs w:val="30"/>
        </w:rPr>
        <w:t>年第</w:t>
      </w:r>
      <w:r>
        <w:rPr>
          <w:rFonts w:eastAsia="仿宋"/>
          <w:color w:val="000000" w:themeColor="text1"/>
          <w:sz w:val="32"/>
          <w:szCs w:val="30"/>
        </w:rPr>
        <w:t>17</w:t>
      </w:r>
      <w:r>
        <w:rPr>
          <w:rFonts w:eastAsia="仿宋" w:hAnsi="仿宋"/>
          <w:color w:val="000000" w:themeColor="text1"/>
          <w:sz w:val="32"/>
          <w:szCs w:val="30"/>
        </w:rPr>
        <w:t>号）的要求。结合《体外诊断试剂说明书编写指导原则》的要求，下面对高密度脂蛋白胆固醇测定试剂（盒）说明书的重点内容进行详细说明，以指导注册申报人员更合理地完成说明书编制。</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产品说明书内容原则上应全部用中文进行表述；如含有国际通用或行业内普遍认可的英文缩写，可用括号在中文后标明；对于确实无适当中文表述的词语，可使用相应英文或其缩写。</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w:t>
      </w:r>
      <w:r>
        <w:rPr>
          <w:rFonts w:eastAsia="仿宋" w:hAnsi="仿宋"/>
          <w:color w:val="000000" w:themeColor="text1"/>
          <w:sz w:val="32"/>
          <w:szCs w:val="30"/>
        </w:rPr>
        <w:t>【产品名称】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）通用名称：试剂（盒）名称由三部分组成：被测物名称、用途、方法或原理。例如：高密度脂蛋白胆固醇测定试剂盒（直接法</w:t>
      </w:r>
      <w:r w:rsidR="002D0A5F">
        <w:rPr>
          <w:rFonts w:eastAsia="仿宋" w:hAnsi="仿宋" w:hint="eastAsia"/>
          <w:color w:val="000000" w:themeColor="text1"/>
          <w:sz w:val="32"/>
          <w:szCs w:val="30"/>
        </w:rPr>
        <w:t>-</w:t>
      </w:r>
      <w:r w:rsidR="00CC63B0">
        <w:rPr>
          <w:rFonts w:eastAsia="仿宋" w:hAnsi="仿宋" w:hint="eastAsia"/>
          <w:color w:val="000000" w:themeColor="text1"/>
          <w:sz w:val="32"/>
          <w:szCs w:val="30"/>
        </w:rPr>
        <w:t>选择</w:t>
      </w:r>
      <w:r w:rsidR="00EB6E94">
        <w:rPr>
          <w:rFonts w:eastAsia="仿宋" w:hAnsi="仿宋" w:hint="eastAsia"/>
          <w:color w:val="000000" w:themeColor="text1"/>
          <w:sz w:val="32"/>
          <w:szCs w:val="30"/>
        </w:rPr>
        <w:t>抑制法</w:t>
      </w:r>
      <w:r>
        <w:rPr>
          <w:rFonts w:eastAsia="仿宋" w:hAnsi="仿宋"/>
          <w:color w:val="000000" w:themeColor="text1"/>
          <w:sz w:val="32"/>
          <w:szCs w:val="30"/>
        </w:rPr>
        <w:t>）。名称不能出现样本类型及定量等内容。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）英文名称（如有）应当正确、完整、直译，不宜只写缩写。</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2</w:t>
      </w:r>
      <w:r>
        <w:rPr>
          <w:rFonts w:eastAsia="仿宋" w:hAnsi="仿宋"/>
          <w:color w:val="000000" w:themeColor="text1"/>
          <w:sz w:val="32"/>
          <w:szCs w:val="30"/>
        </w:rPr>
        <w:t>．【包装规格】</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）应与注册证及产品技术要求中所列的包装规格一致。</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）注明装量或可测试的样本数，如</w:t>
      </w:r>
      <w:r>
        <w:rPr>
          <w:rFonts w:eastAsia="仿宋"/>
          <w:color w:val="000000" w:themeColor="text1"/>
          <w:sz w:val="32"/>
          <w:szCs w:val="30"/>
        </w:rPr>
        <w:t>××</w:t>
      </w:r>
      <w:r>
        <w:rPr>
          <w:rFonts w:eastAsia="仿宋" w:hAnsi="仿宋"/>
          <w:color w:val="000000" w:themeColor="text1"/>
          <w:sz w:val="32"/>
          <w:szCs w:val="30"/>
        </w:rPr>
        <w:t>测试</w:t>
      </w:r>
      <w:r>
        <w:rPr>
          <w:rFonts w:eastAsia="仿宋"/>
          <w:color w:val="000000" w:themeColor="text1"/>
          <w:sz w:val="32"/>
          <w:szCs w:val="30"/>
        </w:rPr>
        <w:t>/</w:t>
      </w:r>
      <w:r>
        <w:rPr>
          <w:rFonts w:eastAsia="仿宋" w:hAnsi="仿宋"/>
          <w:color w:val="000000" w:themeColor="text1"/>
          <w:sz w:val="32"/>
          <w:szCs w:val="30"/>
        </w:rPr>
        <w:t>盒、</w:t>
      </w:r>
      <w:r>
        <w:rPr>
          <w:rFonts w:eastAsia="仿宋"/>
          <w:color w:val="000000" w:themeColor="text1"/>
          <w:sz w:val="32"/>
          <w:szCs w:val="30"/>
        </w:rPr>
        <w:t>××</w:t>
      </w:r>
      <w:proofErr w:type="spellStart"/>
      <w:r>
        <w:rPr>
          <w:rFonts w:eastAsia="仿宋"/>
          <w:color w:val="000000" w:themeColor="text1"/>
          <w:sz w:val="32"/>
          <w:szCs w:val="30"/>
        </w:rPr>
        <w:t>mL</w:t>
      </w:r>
      <w:proofErr w:type="spellEnd"/>
      <w:r>
        <w:rPr>
          <w:rFonts w:eastAsia="仿宋" w:hAnsi="仿宋"/>
          <w:color w:val="000000" w:themeColor="text1"/>
          <w:sz w:val="32"/>
          <w:szCs w:val="30"/>
        </w:rPr>
        <w:t>。</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3</w:t>
      </w:r>
      <w:r>
        <w:rPr>
          <w:rFonts w:eastAsia="仿宋" w:hAnsi="仿宋"/>
          <w:color w:val="000000" w:themeColor="text1"/>
          <w:sz w:val="32"/>
          <w:szCs w:val="30"/>
        </w:rPr>
        <w:t>）注明各包装规格的数量，如</w:t>
      </w:r>
      <w:r>
        <w:rPr>
          <w:rFonts w:eastAsia="仿宋"/>
          <w:color w:val="000000" w:themeColor="text1"/>
          <w:sz w:val="32"/>
          <w:szCs w:val="30"/>
        </w:rPr>
        <w:t>20mL×2</w:t>
      </w:r>
      <w:r>
        <w:rPr>
          <w:rFonts w:eastAsia="仿宋" w:hAnsi="仿宋"/>
          <w:color w:val="000000" w:themeColor="text1"/>
          <w:sz w:val="32"/>
          <w:szCs w:val="30"/>
        </w:rPr>
        <w:t>。</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3.</w:t>
      </w:r>
      <w:r>
        <w:rPr>
          <w:rFonts w:eastAsia="仿宋" w:hAnsi="仿宋"/>
          <w:color w:val="000000" w:themeColor="text1"/>
          <w:sz w:val="32"/>
          <w:szCs w:val="30"/>
        </w:rPr>
        <w:t>【预期用途】应包括以下几部分内容：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lastRenderedPageBreak/>
        <w:t>（</w:t>
      </w:r>
      <w:r>
        <w:rPr>
          <w:rFonts w:eastAsia="仿宋"/>
          <w:color w:val="000000" w:themeColor="text1"/>
          <w:sz w:val="32"/>
          <w:szCs w:val="30"/>
        </w:rPr>
        <w:t>1</w:t>
      </w:r>
      <w:r>
        <w:rPr>
          <w:rFonts w:eastAsia="仿宋" w:hAnsi="仿宋"/>
          <w:color w:val="000000" w:themeColor="text1"/>
          <w:sz w:val="32"/>
          <w:szCs w:val="30"/>
        </w:rPr>
        <w:t>）说明试剂</w:t>
      </w:r>
      <w:proofErr w:type="gramStart"/>
      <w:r>
        <w:rPr>
          <w:rFonts w:eastAsia="仿宋" w:hAnsi="仿宋"/>
          <w:color w:val="000000" w:themeColor="text1"/>
          <w:sz w:val="32"/>
          <w:szCs w:val="30"/>
        </w:rPr>
        <w:t>盒用于</w:t>
      </w:r>
      <w:proofErr w:type="gramEnd"/>
      <w:r>
        <w:rPr>
          <w:rFonts w:eastAsia="仿宋" w:hAnsi="仿宋"/>
          <w:color w:val="000000" w:themeColor="text1"/>
          <w:sz w:val="32"/>
          <w:szCs w:val="30"/>
        </w:rPr>
        <w:t>体外定量测定人血清和</w:t>
      </w:r>
      <w:r>
        <w:rPr>
          <w:rFonts w:eastAsia="仿宋"/>
          <w:color w:val="000000" w:themeColor="text1"/>
          <w:sz w:val="32"/>
          <w:szCs w:val="30"/>
        </w:rPr>
        <w:t>/</w:t>
      </w:r>
      <w:r>
        <w:rPr>
          <w:rFonts w:eastAsia="仿宋" w:hAnsi="仿宋"/>
          <w:color w:val="000000" w:themeColor="text1"/>
          <w:sz w:val="32"/>
          <w:szCs w:val="30"/>
        </w:rPr>
        <w:t>或血浆中高密度脂蛋白胆固醇的含量。</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）与预期用途相关的临床适应症背景情况，如临床适应症的发生率、易感人群等，相关的临床或实验室诊断方法等。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4.</w:t>
      </w:r>
      <w:r>
        <w:rPr>
          <w:rFonts w:eastAsia="仿宋" w:hAnsi="仿宋"/>
          <w:color w:val="000000" w:themeColor="text1"/>
          <w:sz w:val="32"/>
          <w:szCs w:val="30"/>
        </w:rPr>
        <w:t>【检验原理】</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详细说明检验原理、方法，必要时可采用图示或反应方程式的方法描述。应详细说明参与反应的底物、酶、产物及反应条件，明确该方法直接测量物质，若该物质不是高密度脂蛋白胆固醇则还需说明其与高密度脂蛋白胆固醇之间的反应关系。</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5.</w:t>
      </w:r>
      <w:r>
        <w:rPr>
          <w:rFonts w:eastAsia="仿宋" w:hAnsi="仿宋"/>
          <w:color w:val="000000" w:themeColor="text1"/>
          <w:sz w:val="32"/>
          <w:szCs w:val="30"/>
        </w:rPr>
        <w:t>【主要组成成分】</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）说明试剂盒包含组分的名称、数量、比例或浓度等信息，如果对于正确的操作很重要，应提供其生物学来源、活性及其他特性；明确说明不同批号试剂盒中各组分是否可以互换。</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）试剂盒内如包含校准品和</w:t>
      </w:r>
      <w:r>
        <w:rPr>
          <w:rFonts w:eastAsia="仿宋"/>
          <w:color w:val="000000" w:themeColor="text1"/>
          <w:sz w:val="32"/>
          <w:szCs w:val="30"/>
        </w:rPr>
        <w:t>/</w:t>
      </w:r>
      <w:r>
        <w:rPr>
          <w:rFonts w:eastAsia="仿宋" w:hAnsi="仿宋"/>
          <w:color w:val="000000" w:themeColor="text1"/>
          <w:sz w:val="32"/>
          <w:szCs w:val="30"/>
        </w:rPr>
        <w:t>或质控品，应说明其主要组成成分及其生物学来源，校准品应注明其定值及溯源性</w:t>
      </w:r>
      <w:r>
        <w:rPr>
          <w:rFonts w:eastAsia="仿宋" w:hAnsi="仿宋" w:hint="eastAsia"/>
          <w:color w:val="000000" w:themeColor="text1"/>
          <w:sz w:val="32"/>
          <w:szCs w:val="30"/>
        </w:rPr>
        <w:t>（具有批特异性的校准品还应注明浓度范围区间），</w:t>
      </w:r>
      <w:r>
        <w:rPr>
          <w:rFonts w:eastAsia="仿宋" w:hAnsi="仿宋"/>
          <w:color w:val="000000" w:themeColor="text1"/>
          <w:sz w:val="32"/>
          <w:szCs w:val="30"/>
        </w:rPr>
        <w:t>溯源性至少应写明溯源到的最高级别，包括：标准物质的发布单位及编号，注明质</w:t>
      </w:r>
      <w:proofErr w:type="gramStart"/>
      <w:r>
        <w:rPr>
          <w:rFonts w:eastAsia="仿宋" w:hAnsi="仿宋"/>
          <w:color w:val="000000" w:themeColor="text1"/>
          <w:sz w:val="32"/>
          <w:szCs w:val="30"/>
        </w:rPr>
        <w:t>控品的靶值</w:t>
      </w:r>
      <w:proofErr w:type="gramEnd"/>
      <w:r>
        <w:rPr>
          <w:rFonts w:eastAsia="仿宋" w:hAnsi="仿宋"/>
          <w:color w:val="000000" w:themeColor="text1"/>
          <w:sz w:val="32"/>
          <w:szCs w:val="30"/>
        </w:rPr>
        <w:t>范围。</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3</w:t>
      </w:r>
      <w:r>
        <w:rPr>
          <w:rFonts w:eastAsia="仿宋" w:hAnsi="仿宋"/>
          <w:color w:val="000000" w:themeColor="text1"/>
          <w:sz w:val="32"/>
          <w:szCs w:val="30"/>
        </w:rPr>
        <w:t>）对于产品中不包含，但对该试验必需的试剂组分，说明书中应列出此类试剂的名称、纯度，提供稀释或混合方法及其他相关信息</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6.</w:t>
      </w:r>
      <w:r>
        <w:rPr>
          <w:rFonts w:eastAsia="仿宋" w:hAnsi="仿宋"/>
          <w:color w:val="000000" w:themeColor="text1"/>
          <w:sz w:val="32"/>
          <w:szCs w:val="30"/>
        </w:rPr>
        <w:t>【储存条件及有效期】</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）对试剂盒的效期稳定性、</w:t>
      </w:r>
      <w:proofErr w:type="gramStart"/>
      <w:r>
        <w:rPr>
          <w:rFonts w:eastAsia="仿宋" w:hAnsi="仿宋"/>
          <w:color w:val="000000" w:themeColor="text1"/>
          <w:sz w:val="32"/>
          <w:szCs w:val="30"/>
        </w:rPr>
        <w:t>复溶稳定性</w:t>
      </w:r>
      <w:proofErr w:type="gramEnd"/>
      <w:r>
        <w:rPr>
          <w:rFonts w:eastAsia="仿宋" w:hAnsi="仿宋"/>
          <w:color w:val="000000" w:themeColor="text1"/>
          <w:sz w:val="32"/>
          <w:szCs w:val="30"/>
        </w:rPr>
        <w:t>、开瓶稳定性等信息作详细介绍。包括环境温湿度、避光条件等。</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）不同组分保存条件及有效期不同时，应分别说明，产</w:t>
      </w:r>
      <w:r>
        <w:rPr>
          <w:rFonts w:eastAsia="仿宋" w:hAnsi="仿宋"/>
          <w:color w:val="000000" w:themeColor="text1"/>
          <w:sz w:val="32"/>
          <w:szCs w:val="30"/>
        </w:rPr>
        <w:lastRenderedPageBreak/>
        <w:t>品总有效期以</w:t>
      </w:r>
      <w:proofErr w:type="gramStart"/>
      <w:r>
        <w:rPr>
          <w:rFonts w:eastAsia="仿宋" w:hAnsi="仿宋"/>
          <w:color w:val="000000" w:themeColor="text1"/>
          <w:sz w:val="32"/>
          <w:szCs w:val="30"/>
        </w:rPr>
        <w:t>其中效</w:t>
      </w:r>
      <w:proofErr w:type="gramEnd"/>
      <w:r>
        <w:rPr>
          <w:rFonts w:eastAsia="仿宋" w:hAnsi="仿宋"/>
          <w:color w:val="000000" w:themeColor="text1"/>
          <w:sz w:val="32"/>
          <w:szCs w:val="30"/>
        </w:rPr>
        <w:t>期最短的为准。</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注：保存条件不应有模糊表述，如</w:t>
      </w:r>
      <w:r>
        <w:rPr>
          <w:rFonts w:eastAsia="仿宋"/>
          <w:color w:val="000000" w:themeColor="text1"/>
          <w:sz w:val="32"/>
          <w:szCs w:val="30"/>
        </w:rPr>
        <w:t>“</w:t>
      </w:r>
      <w:r>
        <w:rPr>
          <w:rFonts w:eastAsia="仿宋" w:hAnsi="仿宋"/>
          <w:color w:val="000000" w:themeColor="text1"/>
          <w:sz w:val="32"/>
          <w:szCs w:val="30"/>
        </w:rPr>
        <w:t>室温</w:t>
      </w:r>
      <w:r>
        <w:rPr>
          <w:rFonts w:eastAsia="仿宋"/>
          <w:color w:val="000000" w:themeColor="text1"/>
          <w:sz w:val="32"/>
          <w:szCs w:val="30"/>
        </w:rPr>
        <w:t>”</w:t>
      </w:r>
      <w:r>
        <w:rPr>
          <w:rFonts w:eastAsia="仿宋" w:hAnsi="仿宋"/>
          <w:color w:val="000000" w:themeColor="text1"/>
          <w:sz w:val="32"/>
          <w:szCs w:val="30"/>
        </w:rPr>
        <w:t>，应明确贮存温度，如</w:t>
      </w:r>
      <w:r>
        <w:rPr>
          <w:rFonts w:eastAsia="仿宋"/>
          <w:color w:val="000000" w:themeColor="text1"/>
          <w:sz w:val="32"/>
          <w:szCs w:val="30"/>
        </w:rPr>
        <w:t>2</w:t>
      </w:r>
      <w:r>
        <w:rPr>
          <w:rFonts w:eastAsia="仿宋" w:hAnsi="仿宋"/>
          <w:color w:val="000000" w:themeColor="text1"/>
          <w:sz w:val="32"/>
          <w:szCs w:val="30"/>
        </w:rPr>
        <w:t>℃</w:t>
      </w:r>
      <w:r>
        <w:rPr>
          <w:rFonts w:eastAsia="仿宋"/>
          <w:color w:val="000000" w:themeColor="text1"/>
          <w:sz w:val="32"/>
          <w:szCs w:val="30"/>
        </w:rPr>
        <w:t>~8</w:t>
      </w:r>
      <w:r>
        <w:rPr>
          <w:rFonts w:eastAsia="仿宋" w:hAnsi="仿宋"/>
          <w:color w:val="000000" w:themeColor="text1"/>
          <w:sz w:val="32"/>
          <w:szCs w:val="30"/>
        </w:rPr>
        <w:t>℃，有效期</w:t>
      </w:r>
      <w:r>
        <w:rPr>
          <w:rFonts w:eastAsia="仿宋"/>
          <w:color w:val="000000" w:themeColor="text1"/>
          <w:sz w:val="32"/>
          <w:szCs w:val="30"/>
        </w:rPr>
        <w:t>12</w:t>
      </w:r>
      <w:r>
        <w:rPr>
          <w:rFonts w:eastAsia="仿宋" w:hAnsi="仿宋"/>
          <w:color w:val="000000" w:themeColor="text1"/>
          <w:sz w:val="32"/>
          <w:szCs w:val="30"/>
        </w:rPr>
        <w:t>个月。稳定期限应以月或日或小时为单位。</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7.</w:t>
      </w:r>
      <w:r>
        <w:rPr>
          <w:rFonts w:eastAsia="仿宋" w:hAnsi="仿宋"/>
          <w:color w:val="000000" w:themeColor="text1"/>
          <w:sz w:val="32"/>
          <w:szCs w:val="30"/>
        </w:rPr>
        <w:t>【适用仪器】</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）说明可适用的仪器，并提供与仪器有关的必要信息以便用户能够</w:t>
      </w:r>
      <w:proofErr w:type="gramStart"/>
      <w:r>
        <w:rPr>
          <w:rFonts w:eastAsia="仿宋" w:hAnsi="仿宋"/>
          <w:color w:val="000000" w:themeColor="text1"/>
          <w:sz w:val="32"/>
          <w:szCs w:val="30"/>
        </w:rPr>
        <w:t>作出</w:t>
      </w:r>
      <w:proofErr w:type="gramEnd"/>
      <w:r>
        <w:rPr>
          <w:rFonts w:eastAsia="仿宋" w:hAnsi="仿宋"/>
          <w:color w:val="000000" w:themeColor="text1"/>
          <w:sz w:val="32"/>
          <w:szCs w:val="30"/>
        </w:rPr>
        <w:t>最好的选择。</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）应写明具体适用仪器的型号，不能泛指某一系列仪器。</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8.</w:t>
      </w:r>
      <w:r>
        <w:rPr>
          <w:rFonts w:eastAsia="仿宋" w:hAnsi="仿宋"/>
          <w:color w:val="000000" w:themeColor="text1"/>
          <w:sz w:val="32"/>
          <w:szCs w:val="30"/>
        </w:rPr>
        <w:t>【样本要求】</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重点明确以下内容：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）样本采集前对患者的要求：如采集时间、采集顺序等，是否受临床症状、用药情况等因素的影响。</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）样本采集：说明采集方法及样本类型，如有血浆样本，应注明对抗凝剂的要求。</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3</w:t>
      </w:r>
      <w:r>
        <w:rPr>
          <w:rFonts w:eastAsia="仿宋" w:hAnsi="仿宋"/>
          <w:color w:val="000000" w:themeColor="text1"/>
          <w:sz w:val="32"/>
          <w:szCs w:val="30"/>
        </w:rPr>
        <w:t>）样本处理及保存：样本处理方法、保存条件及期限、运输条件等。冷藏</w:t>
      </w:r>
      <w:r>
        <w:rPr>
          <w:rFonts w:eastAsia="仿宋"/>
          <w:color w:val="000000" w:themeColor="text1"/>
          <w:sz w:val="32"/>
          <w:szCs w:val="30"/>
        </w:rPr>
        <w:t>/</w:t>
      </w:r>
      <w:r>
        <w:rPr>
          <w:rFonts w:eastAsia="仿宋" w:hAnsi="仿宋"/>
          <w:color w:val="000000" w:themeColor="text1"/>
          <w:sz w:val="32"/>
          <w:szCs w:val="30"/>
        </w:rPr>
        <w:t>冷冻样本检测前是否</w:t>
      </w:r>
      <w:proofErr w:type="gramStart"/>
      <w:r>
        <w:rPr>
          <w:rFonts w:eastAsia="仿宋" w:hAnsi="仿宋"/>
          <w:color w:val="000000" w:themeColor="text1"/>
          <w:sz w:val="32"/>
          <w:szCs w:val="30"/>
        </w:rPr>
        <w:t>须恢复</w:t>
      </w:r>
      <w:proofErr w:type="gramEnd"/>
      <w:r>
        <w:rPr>
          <w:rFonts w:eastAsia="仿宋" w:hAnsi="仿宋"/>
          <w:color w:val="000000" w:themeColor="text1"/>
          <w:sz w:val="32"/>
          <w:szCs w:val="30"/>
        </w:rPr>
        <w:t>室温，冻融次数。对储存样本的添加剂要求等。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9.</w:t>
      </w:r>
      <w:r>
        <w:rPr>
          <w:rFonts w:eastAsia="仿宋" w:hAnsi="仿宋"/>
          <w:color w:val="000000" w:themeColor="text1"/>
          <w:sz w:val="32"/>
          <w:szCs w:val="30"/>
        </w:rPr>
        <w:t>【检验方法】详细说明试验操作的各个步骤，包括：</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）试验具体操作步骤。</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）试剂配制方法、注意事项。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3</w:t>
      </w:r>
      <w:r>
        <w:rPr>
          <w:rFonts w:eastAsia="仿宋" w:hAnsi="仿宋"/>
          <w:color w:val="000000" w:themeColor="text1"/>
          <w:sz w:val="32"/>
          <w:szCs w:val="30"/>
        </w:rPr>
        <w:t>）试验条件：温度、时间、仪器波长等以及试验过程中的注意事项。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4</w:t>
      </w:r>
      <w:r>
        <w:rPr>
          <w:rFonts w:eastAsia="仿宋" w:hAnsi="仿宋"/>
          <w:color w:val="000000" w:themeColor="text1"/>
          <w:sz w:val="32"/>
          <w:szCs w:val="30"/>
        </w:rPr>
        <w:t>）校准：校准品的使用方法、注意事项、校准曲线的绘制。应注明推荐的仪器校准周期。</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5</w:t>
      </w:r>
      <w:r>
        <w:rPr>
          <w:rFonts w:eastAsia="仿宋" w:hAnsi="仿宋"/>
          <w:color w:val="000000" w:themeColor="text1"/>
          <w:sz w:val="32"/>
          <w:szCs w:val="30"/>
        </w:rPr>
        <w:t>）质量控制：</w:t>
      </w:r>
      <w:proofErr w:type="gramStart"/>
      <w:r>
        <w:rPr>
          <w:rFonts w:eastAsia="仿宋" w:hAnsi="仿宋"/>
          <w:color w:val="000000" w:themeColor="text1"/>
          <w:sz w:val="32"/>
          <w:szCs w:val="30"/>
        </w:rPr>
        <w:t>质控品的</w:t>
      </w:r>
      <w:proofErr w:type="gramEnd"/>
      <w:r>
        <w:rPr>
          <w:rFonts w:eastAsia="仿宋" w:hAnsi="仿宋"/>
          <w:color w:val="000000" w:themeColor="text1"/>
          <w:sz w:val="32"/>
          <w:szCs w:val="30"/>
        </w:rPr>
        <w:t>使用方法、对质</w:t>
      </w:r>
      <w:proofErr w:type="gramStart"/>
      <w:r>
        <w:rPr>
          <w:rFonts w:eastAsia="仿宋" w:hAnsi="仿宋"/>
          <w:color w:val="000000" w:themeColor="text1"/>
          <w:sz w:val="32"/>
          <w:szCs w:val="30"/>
        </w:rPr>
        <w:t>控结果</w:t>
      </w:r>
      <w:proofErr w:type="gramEnd"/>
      <w:r>
        <w:rPr>
          <w:rFonts w:eastAsia="仿宋" w:hAnsi="仿宋"/>
          <w:color w:val="000000" w:themeColor="text1"/>
          <w:sz w:val="32"/>
          <w:szCs w:val="30"/>
        </w:rPr>
        <w:t>的必要解</w:t>
      </w:r>
      <w:r>
        <w:rPr>
          <w:rFonts w:eastAsia="仿宋" w:hAnsi="仿宋"/>
          <w:color w:val="000000" w:themeColor="text1"/>
          <w:sz w:val="32"/>
          <w:szCs w:val="30"/>
        </w:rPr>
        <w:lastRenderedPageBreak/>
        <w:t>释以及推荐的质控周期等，如质控不合格应提供相关的解决方案。</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10.</w:t>
      </w:r>
      <w:r>
        <w:rPr>
          <w:rFonts w:eastAsia="仿宋" w:hAnsi="仿宋"/>
          <w:color w:val="000000" w:themeColor="text1"/>
          <w:sz w:val="32"/>
          <w:szCs w:val="30"/>
        </w:rPr>
        <w:t>【参考区间】</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）应注明常用样本类型的正常参考区间，并简要说明参考区间确定的方法。</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）建议注明以下字样</w:t>
      </w:r>
      <w:r>
        <w:rPr>
          <w:rFonts w:eastAsia="仿宋"/>
          <w:color w:val="000000" w:themeColor="text1"/>
          <w:sz w:val="32"/>
          <w:szCs w:val="30"/>
        </w:rPr>
        <w:t>“</w:t>
      </w:r>
      <w:r>
        <w:rPr>
          <w:rFonts w:eastAsia="仿宋" w:hAnsi="仿宋"/>
          <w:color w:val="000000" w:themeColor="text1"/>
          <w:sz w:val="32"/>
          <w:szCs w:val="30"/>
        </w:rPr>
        <w:t>由于地理、人种、性别及年龄等差异，建议各实验室建立自己的参考区间</w:t>
      </w:r>
      <w:r>
        <w:rPr>
          <w:rFonts w:eastAsia="仿宋"/>
          <w:color w:val="000000" w:themeColor="text1"/>
          <w:sz w:val="32"/>
          <w:szCs w:val="30"/>
        </w:rPr>
        <w:t>”</w:t>
      </w:r>
      <w:r>
        <w:rPr>
          <w:rFonts w:eastAsia="仿宋" w:hAnsi="仿宋"/>
          <w:color w:val="000000" w:themeColor="text1"/>
          <w:sz w:val="32"/>
          <w:szCs w:val="30"/>
        </w:rPr>
        <w:t>。</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11.</w:t>
      </w:r>
      <w:r>
        <w:rPr>
          <w:rFonts w:eastAsia="仿宋" w:hAnsi="仿宋"/>
          <w:color w:val="000000" w:themeColor="text1"/>
          <w:sz w:val="32"/>
          <w:szCs w:val="30"/>
        </w:rPr>
        <w:t>【检验结果的解释】</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说明可能对试验结果产生影响的因素；说明在何种情况下需要进行确认试验。</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12.</w:t>
      </w:r>
      <w:r>
        <w:rPr>
          <w:rFonts w:eastAsia="仿宋" w:hAnsi="仿宋"/>
          <w:color w:val="000000" w:themeColor="text1"/>
          <w:sz w:val="32"/>
          <w:szCs w:val="30"/>
        </w:rPr>
        <w:t>【检验方法的局限性】</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）说明检测结果仅供临床参考，不能单独作为确诊或排除病例的依据。</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）说明该检验方法由于哪些原因会使测量结果产生偏离，或测量结果还不能完全满足临床需要。如：干扰（胆红素、血红蛋白、甘油三酯等）等。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13.</w:t>
      </w:r>
      <w:r>
        <w:rPr>
          <w:rFonts w:eastAsia="仿宋" w:hAnsi="仿宋"/>
          <w:color w:val="000000" w:themeColor="text1"/>
          <w:sz w:val="32"/>
          <w:szCs w:val="30"/>
        </w:rPr>
        <w:t>【产品性能指标】</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产品性能指标应符合产品技术要求。说明该产品主要性能指标，应至少包括：试剂空白吸光度、分析灵敏度、线性范围、重复性、</w:t>
      </w:r>
      <w:proofErr w:type="gramStart"/>
      <w:r>
        <w:rPr>
          <w:rFonts w:eastAsia="仿宋" w:hAnsi="仿宋"/>
          <w:color w:val="000000" w:themeColor="text1"/>
          <w:sz w:val="32"/>
          <w:szCs w:val="30"/>
        </w:rPr>
        <w:t>批间差</w:t>
      </w:r>
      <w:proofErr w:type="gramEnd"/>
      <w:r>
        <w:rPr>
          <w:rFonts w:eastAsia="仿宋" w:hAnsi="仿宋"/>
          <w:color w:val="000000" w:themeColor="text1"/>
          <w:sz w:val="32"/>
          <w:szCs w:val="30"/>
        </w:rPr>
        <w:t>、准确度等。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14.</w:t>
      </w:r>
      <w:r>
        <w:rPr>
          <w:rFonts w:eastAsia="仿宋" w:hAnsi="仿宋"/>
          <w:color w:val="000000" w:themeColor="text1"/>
          <w:sz w:val="32"/>
          <w:szCs w:val="30"/>
        </w:rPr>
        <w:t>【注意事项】应至少包括以下内容：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）本试剂盒的检测结果仅供临床参考，对患者的临床诊治应结合其症状</w:t>
      </w:r>
      <w:r>
        <w:rPr>
          <w:rFonts w:eastAsia="仿宋"/>
          <w:color w:val="000000" w:themeColor="text1"/>
          <w:sz w:val="32"/>
          <w:szCs w:val="30"/>
        </w:rPr>
        <w:t>/</w:t>
      </w:r>
      <w:r>
        <w:rPr>
          <w:rFonts w:eastAsia="仿宋" w:hAnsi="仿宋"/>
          <w:color w:val="000000" w:themeColor="text1"/>
          <w:sz w:val="32"/>
          <w:szCs w:val="30"/>
        </w:rPr>
        <w:t>体征、病史、其他实验室检查及治疗反应等情况综合考虑。</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）使用不同生产商的试剂对同一份样本进行检测可能会存在差异。</w:t>
      </w:r>
    </w:p>
    <w:p w:rsidR="00990962" w:rsidRDefault="00806EEC">
      <w:pPr>
        <w:spacing w:line="520" w:lineRule="exact"/>
        <w:ind w:firstLineChars="200" w:firstLine="640"/>
        <w:rPr>
          <w:rFonts w:eastAsia="仿宋" w:hAnsi="仿宋"/>
          <w:color w:val="000000" w:themeColor="text1"/>
          <w:sz w:val="32"/>
          <w:szCs w:val="30"/>
        </w:rPr>
      </w:pPr>
      <w:r>
        <w:rPr>
          <w:rFonts w:eastAsia="仿宋" w:hAnsi="仿宋"/>
          <w:color w:val="000000" w:themeColor="text1"/>
          <w:sz w:val="32"/>
          <w:szCs w:val="30"/>
        </w:rPr>
        <w:lastRenderedPageBreak/>
        <w:t>（</w:t>
      </w:r>
      <w:r>
        <w:rPr>
          <w:rFonts w:eastAsia="仿宋"/>
          <w:color w:val="000000" w:themeColor="text1"/>
          <w:sz w:val="32"/>
          <w:szCs w:val="30"/>
        </w:rPr>
        <w:t>3</w:t>
      </w:r>
      <w:r>
        <w:rPr>
          <w:rFonts w:eastAsia="仿宋" w:hAnsi="仿宋"/>
          <w:color w:val="000000" w:themeColor="text1"/>
          <w:sz w:val="32"/>
          <w:szCs w:val="30"/>
        </w:rPr>
        <w:t>）如无确切的证据证明其安全性，对所有样本和反应废弃物都应视为传染源对待，提示操作者采取必要的防护措施。</w:t>
      </w:r>
    </w:p>
    <w:p w:rsidR="00990962" w:rsidRPr="00DD6589" w:rsidRDefault="00806EEC">
      <w:pPr>
        <w:spacing w:line="520" w:lineRule="exact"/>
        <w:ind w:firstLineChars="200" w:firstLine="640"/>
        <w:rPr>
          <w:rFonts w:eastAsia="仿宋" w:hAnsi="仿宋"/>
          <w:color w:val="000000" w:themeColor="text1"/>
          <w:sz w:val="32"/>
          <w:szCs w:val="30"/>
        </w:rPr>
      </w:pPr>
      <w:r w:rsidRPr="00DD6589">
        <w:rPr>
          <w:rFonts w:eastAsia="仿宋" w:hAnsi="仿宋"/>
          <w:color w:val="000000" w:themeColor="text1"/>
          <w:sz w:val="32"/>
          <w:szCs w:val="30"/>
        </w:rPr>
        <w:t>（</w:t>
      </w:r>
      <w:r w:rsidRPr="00DD6589">
        <w:rPr>
          <w:rFonts w:eastAsia="仿宋" w:hAnsi="仿宋" w:hint="eastAsia"/>
          <w:color w:val="000000" w:themeColor="text1"/>
          <w:sz w:val="32"/>
          <w:szCs w:val="30"/>
        </w:rPr>
        <w:t>4</w:t>
      </w:r>
      <w:r w:rsidRPr="00DD6589">
        <w:rPr>
          <w:rFonts w:eastAsia="仿宋" w:hAnsi="仿宋" w:hint="eastAsia"/>
          <w:color w:val="000000" w:themeColor="text1"/>
          <w:sz w:val="32"/>
          <w:szCs w:val="30"/>
        </w:rPr>
        <w:t>）</w:t>
      </w:r>
      <w:r w:rsidRPr="00DD6589">
        <w:rPr>
          <w:rFonts w:eastAsia="仿宋" w:hAnsi="仿宋"/>
          <w:color w:val="000000" w:themeColor="text1"/>
          <w:sz w:val="32"/>
          <w:szCs w:val="30"/>
        </w:rPr>
        <w:t>试剂中含有的化学成分如接触人体后会产生不良的影响，应明确给予提示。</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15.</w:t>
      </w:r>
      <w:r>
        <w:rPr>
          <w:rFonts w:eastAsia="仿宋" w:hAnsi="仿宋"/>
          <w:color w:val="000000" w:themeColor="text1"/>
          <w:sz w:val="32"/>
          <w:szCs w:val="30"/>
        </w:rPr>
        <w:t>【标识的解释】</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如有图形或符号，请解释其代表的意义。</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16.</w:t>
      </w:r>
      <w:r>
        <w:rPr>
          <w:rFonts w:eastAsia="仿宋" w:hAnsi="仿宋"/>
          <w:color w:val="000000" w:themeColor="text1"/>
          <w:sz w:val="32"/>
          <w:szCs w:val="30"/>
        </w:rPr>
        <w:t>【参考文献】</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注明引用参考文献，其书写应清楚、易查询且格式规范统一。</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17.</w:t>
      </w:r>
      <w:r>
        <w:rPr>
          <w:rFonts w:eastAsia="仿宋" w:hAnsi="仿宋"/>
          <w:color w:val="000000" w:themeColor="text1"/>
          <w:sz w:val="32"/>
          <w:szCs w:val="30"/>
        </w:rPr>
        <w:t>【基本信息】</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1</w:t>
      </w:r>
      <w:r>
        <w:rPr>
          <w:rFonts w:eastAsia="仿宋" w:hAnsi="仿宋"/>
          <w:color w:val="000000" w:themeColor="text1"/>
          <w:sz w:val="32"/>
          <w:szCs w:val="30"/>
        </w:rPr>
        <w:t>）注册人与生产企业为同一企业的，按以下格式标注基本信息：</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注册人</w:t>
      </w:r>
      <w:r>
        <w:rPr>
          <w:rFonts w:eastAsia="仿宋"/>
          <w:color w:val="000000" w:themeColor="text1"/>
          <w:sz w:val="32"/>
          <w:szCs w:val="30"/>
        </w:rPr>
        <w:t>/</w:t>
      </w:r>
      <w:r>
        <w:rPr>
          <w:rFonts w:eastAsia="仿宋" w:hAnsi="仿宋"/>
          <w:color w:val="000000" w:themeColor="text1"/>
          <w:sz w:val="32"/>
          <w:szCs w:val="30"/>
        </w:rPr>
        <w:t>生产企业名称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住所</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联系方式</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售后服务单位名称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联系方式</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生产地址</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生产许可证编号</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w:t>
      </w:r>
      <w:r>
        <w:rPr>
          <w:rFonts w:eastAsia="仿宋"/>
          <w:color w:val="000000" w:themeColor="text1"/>
          <w:sz w:val="32"/>
          <w:szCs w:val="30"/>
        </w:rPr>
        <w:t>2</w:t>
      </w:r>
      <w:r>
        <w:rPr>
          <w:rFonts w:eastAsia="仿宋" w:hAnsi="仿宋"/>
          <w:color w:val="000000" w:themeColor="text1"/>
          <w:sz w:val="32"/>
          <w:szCs w:val="30"/>
        </w:rPr>
        <w:t>）委托生产的按照以下格式标注基本信息：</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注册人</w:t>
      </w:r>
      <w:r>
        <w:rPr>
          <w:rFonts w:eastAsia="仿宋"/>
          <w:color w:val="000000" w:themeColor="text1"/>
          <w:sz w:val="32"/>
          <w:szCs w:val="30"/>
        </w:rPr>
        <w:t>/</w:t>
      </w:r>
      <w:r>
        <w:rPr>
          <w:rFonts w:eastAsia="仿宋" w:hAnsi="仿宋"/>
          <w:color w:val="000000" w:themeColor="text1"/>
          <w:sz w:val="32"/>
          <w:szCs w:val="30"/>
        </w:rPr>
        <w:t>生产企业名称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住所</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联系方式</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售后服务单位名称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联系方式</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受托企业的名称</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lastRenderedPageBreak/>
        <w:t>住所</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生产地址</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生产许可证编号</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18.</w:t>
      </w:r>
      <w:r>
        <w:rPr>
          <w:rFonts w:eastAsia="仿宋" w:hAnsi="仿宋"/>
          <w:color w:val="000000" w:themeColor="text1"/>
          <w:sz w:val="32"/>
          <w:szCs w:val="30"/>
        </w:rPr>
        <w:t>【医疗器械注册证编号</w:t>
      </w:r>
      <w:r>
        <w:rPr>
          <w:rFonts w:eastAsia="仿宋"/>
          <w:color w:val="000000" w:themeColor="text1"/>
          <w:sz w:val="32"/>
          <w:szCs w:val="30"/>
        </w:rPr>
        <w:t>/</w:t>
      </w:r>
      <w:r>
        <w:rPr>
          <w:rFonts w:eastAsia="仿宋" w:hAnsi="仿宋"/>
          <w:color w:val="000000" w:themeColor="text1"/>
          <w:sz w:val="32"/>
          <w:szCs w:val="30"/>
        </w:rPr>
        <w:t>产品技术要求编号】</w:t>
      </w:r>
    </w:p>
    <w:p w:rsidR="00990962" w:rsidRDefault="00806EEC">
      <w:pPr>
        <w:adjustRightInd w:val="0"/>
        <w:snapToGrid w:val="0"/>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注明该产品的注册证书编号</w:t>
      </w:r>
      <w:r>
        <w:rPr>
          <w:rFonts w:eastAsia="仿宋"/>
          <w:color w:val="000000" w:themeColor="text1"/>
          <w:sz w:val="32"/>
          <w:szCs w:val="30"/>
        </w:rPr>
        <w:t>/</w:t>
      </w:r>
      <w:r>
        <w:rPr>
          <w:rFonts w:eastAsia="仿宋" w:hAnsi="仿宋"/>
          <w:color w:val="000000" w:themeColor="text1"/>
          <w:sz w:val="32"/>
          <w:szCs w:val="30"/>
        </w:rPr>
        <w:t>产品技术要求编号。</w:t>
      </w:r>
    </w:p>
    <w:p w:rsidR="00990962" w:rsidRDefault="00806EEC">
      <w:pPr>
        <w:spacing w:line="520" w:lineRule="exact"/>
        <w:ind w:firstLineChars="200" w:firstLine="640"/>
        <w:rPr>
          <w:rFonts w:eastAsia="仿宋"/>
          <w:color w:val="000000" w:themeColor="text1"/>
          <w:sz w:val="32"/>
          <w:szCs w:val="30"/>
        </w:rPr>
      </w:pPr>
      <w:r>
        <w:rPr>
          <w:rFonts w:eastAsia="仿宋"/>
          <w:color w:val="000000" w:themeColor="text1"/>
          <w:sz w:val="32"/>
          <w:szCs w:val="30"/>
        </w:rPr>
        <w:t>19.</w:t>
      </w:r>
      <w:r>
        <w:rPr>
          <w:rFonts w:eastAsia="仿宋" w:hAnsi="仿宋"/>
          <w:color w:val="000000" w:themeColor="text1"/>
          <w:sz w:val="32"/>
          <w:szCs w:val="30"/>
        </w:rPr>
        <w:t>【说明书核准日期及修改日期】</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注明该产品说明书的核准日期。如曾进行过说明书的变更申请，还应该同时注明说明书的修改日期。</w:t>
      </w:r>
    </w:p>
    <w:p w:rsidR="00990962" w:rsidRDefault="00806EEC">
      <w:pPr>
        <w:spacing w:line="520" w:lineRule="exact"/>
        <w:rPr>
          <w:rFonts w:eastAsia="黑体"/>
          <w:color w:val="000000" w:themeColor="text1"/>
          <w:sz w:val="32"/>
          <w:szCs w:val="30"/>
        </w:rPr>
      </w:pPr>
      <w:r>
        <w:rPr>
          <w:rFonts w:eastAsia="黑体"/>
          <w:color w:val="000000" w:themeColor="text1"/>
          <w:sz w:val="32"/>
          <w:szCs w:val="30"/>
        </w:rPr>
        <w:t>三、审查关注点</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（一）技术要求中性能指标的设定及检验方法是否符合相关国家标准、行业标准的要求；技术要求的格式是否符合《医疗器械产品技术要求编写指导原则》的相关规定</w:t>
      </w:r>
      <w:r w:rsidR="00832973">
        <w:rPr>
          <w:rFonts w:eastAsia="仿宋" w:hAnsi="仿宋"/>
          <w:color w:val="000000" w:themeColor="text1"/>
          <w:sz w:val="32"/>
          <w:szCs w:val="30"/>
        </w:rPr>
        <w:t>。</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（二）产品说明书的编写内容及格式是否符合《体外诊断试剂说明书编写指导原则》的要求，相关内容是否符合《医疗器械说明书和标签管理规定》（国家食品药品监督管理总局令第</w:t>
      </w:r>
      <w:r>
        <w:rPr>
          <w:rFonts w:eastAsia="仿宋"/>
          <w:color w:val="000000" w:themeColor="text1"/>
          <w:sz w:val="32"/>
          <w:szCs w:val="30"/>
        </w:rPr>
        <w:t>6</w:t>
      </w:r>
      <w:r>
        <w:rPr>
          <w:rFonts w:eastAsia="仿宋" w:hAnsi="仿宋"/>
          <w:color w:val="000000" w:themeColor="text1"/>
          <w:sz w:val="32"/>
          <w:szCs w:val="30"/>
        </w:rPr>
        <w:t>号）中对说明书的要求。</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（三）分析性能评估指标及结果是否满足产品技术要求的规定；是否满足本指导原则中各指标验证的要求。</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（四）参考区间确定使用的方法是否合理，数据统计是否符合统计学的相关要求，结论是否和说明书声称一致。</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（五）试剂盒的稳定性研究方法是否合理，稳定性结论是否和说明书声称一致。</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（六）临床试验采用的样本类型及病例是否满足试剂盒声称的预期用途，样本量及临床研究单位的选择、对比试剂的选择、统计方法及研究结果、临床方案及报告撰写的格式等是否符合</w:t>
      </w:r>
      <w:r>
        <w:rPr>
          <w:rFonts w:eastAsia="仿宋" w:hAnsi="仿宋"/>
          <w:color w:val="000000" w:themeColor="text1"/>
          <w:sz w:val="32"/>
          <w:szCs w:val="30"/>
        </w:rPr>
        <w:lastRenderedPageBreak/>
        <w:t>《体外诊断试剂临床试验技术指导原则》对相关内容的规定。</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（七）产品风险分析资料的撰写是否符合</w:t>
      </w:r>
      <w:r>
        <w:rPr>
          <w:rFonts w:eastAsia="仿宋" w:hAnsi="仿宋"/>
          <w:color w:val="000000" w:themeColor="text1"/>
          <w:sz w:val="32"/>
          <w:szCs w:val="30"/>
        </w:rPr>
        <w:t>YY/T 0316</w:t>
      </w:r>
      <w:r w:rsidR="006754A5">
        <w:rPr>
          <w:rFonts w:eastAsia="仿宋" w:hAnsi="仿宋" w:hint="eastAsia"/>
          <w:color w:val="000000" w:themeColor="text1"/>
          <w:sz w:val="32"/>
          <w:szCs w:val="30"/>
        </w:rPr>
        <w:t>-</w:t>
      </w:r>
      <w:r>
        <w:rPr>
          <w:rFonts w:eastAsia="仿宋" w:hAnsi="仿宋"/>
          <w:color w:val="000000" w:themeColor="text1"/>
          <w:sz w:val="32"/>
          <w:szCs w:val="30"/>
        </w:rPr>
        <w:t>2008</w:t>
      </w:r>
      <w:r>
        <w:rPr>
          <w:rFonts w:eastAsia="仿宋" w:hAnsi="仿宋"/>
          <w:color w:val="000000" w:themeColor="text1"/>
          <w:sz w:val="32"/>
          <w:szCs w:val="30"/>
        </w:rPr>
        <w:t>《医疗器械风险管理对医疗器械的应用》的要求。</w:t>
      </w:r>
    </w:p>
    <w:p w:rsidR="00990962" w:rsidRPr="00DD6589" w:rsidRDefault="00806EEC" w:rsidP="00DD6589">
      <w:pPr>
        <w:spacing w:line="520" w:lineRule="exact"/>
        <w:jc w:val="left"/>
        <w:rPr>
          <w:rFonts w:eastAsia="黑体"/>
          <w:color w:val="000000" w:themeColor="text1"/>
          <w:sz w:val="32"/>
          <w:szCs w:val="30"/>
        </w:rPr>
      </w:pPr>
      <w:r w:rsidRPr="00DD6589">
        <w:rPr>
          <w:rFonts w:eastAsia="黑体"/>
          <w:color w:val="000000" w:themeColor="text1"/>
          <w:sz w:val="32"/>
          <w:szCs w:val="30"/>
        </w:rPr>
        <w:t>四、名词解释</w:t>
      </w:r>
    </w:p>
    <w:p w:rsidR="00990962" w:rsidRDefault="00806EEC">
      <w:pPr>
        <w:spacing w:line="520" w:lineRule="exact"/>
        <w:ind w:firstLineChars="200" w:firstLine="640"/>
        <w:rPr>
          <w:rFonts w:eastAsia="仿宋"/>
          <w:color w:val="000000" w:themeColor="text1"/>
          <w:spacing w:val="-6"/>
          <w:sz w:val="32"/>
          <w:szCs w:val="30"/>
        </w:rPr>
      </w:pPr>
      <w:r>
        <w:rPr>
          <w:rFonts w:eastAsia="仿宋" w:hAnsi="仿宋"/>
          <w:color w:val="000000" w:themeColor="text1"/>
          <w:sz w:val="32"/>
          <w:szCs w:val="30"/>
        </w:rPr>
        <w:t>（一）</w:t>
      </w:r>
      <w:r>
        <w:rPr>
          <w:rFonts w:eastAsia="仿宋" w:hAnsi="仿宋"/>
          <w:color w:val="000000" w:themeColor="text1"/>
          <w:spacing w:val="-6"/>
          <w:sz w:val="32"/>
          <w:szCs w:val="30"/>
        </w:rPr>
        <w:t>准确度（</w:t>
      </w:r>
      <w:r>
        <w:rPr>
          <w:rFonts w:eastAsia="仿宋"/>
          <w:color w:val="000000" w:themeColor="text1"/>
          <w:spacing w:val="-6"/>
          <w:sz w:val="32"/>
          <w:szCs w:val="30"/>
        </w:rPr>
        <w:t>accuracy</w:t>
      </w:r>
      <w:r>
        <w:rPr>
          <w:rFonts w:eastAsia="仿宋" w:hAnsi="仿宋"/>
          <w:color w:val="000000" w:themeColor="text1"/>
          <w:spacing w:val="-6"/>
          <w:sz w:val="32"/>
          <w:szCs w:val="30"/>
        </w:rPr>
        <w:t>）：一个测量值与可接受的参考值间的一致程度。</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（二）线性（</w:t>
      </w:r>
      <w:r>
        <w:rPr>
          <w:rFonts w:eastAsia="仿宋"/>
          <w:color w:val="000000" w:themeColor="text1"/>
          <w:sz w:val="32"/>
          <w:szCs w:val="30"/>
        </w:rPr>
        <w:t>linearity</w:t>
      </w:r>
      <w:r>
        <w:rPr>
          <w:rFonts w:eastAsia="仿宋" w:hAnsi="仿宋"/>
          <w:color w:val="000000" w:themeColor="text1"/>
          <w:sz w:val="32"/>
          <w:szCs w:val="30"/>
        </w:rPr>
        <w:t>）：在给定测量范围内，给出的测量结果与样品中实际存在的被测量物的值成比例的能力。线性是描述一个测量系统的测量示值或测量结果相关于样本的赋值符合直线的属性。</w:t>
      </w:r>
    </w:p>
    <w:p w:rsidR="00990962" w:rsidRDefault="00806EEC">
      <w:pPr>
        <w:spacing w:line="520" w:lineRule="exact"/>
        <w:ind w:firstLineChars="200" w:firstLine="640"/>
        <w:rPr>
          <w:rFonts w:eastAsia="仿宋"/>
          <w:color w:val="000000" w:themeColor="text1"/>
          <w:sz w:val="32"/>
          <w:szCs w:val="30"/>
        </w:rPr>
      </w:pPr>
      <w:r>
        <w:rPr>
          <w:rFonts w:eastAsia="仿宋" w:hAnsi="仿宋"/>
          <w:color w:val="000000" w:themeColor="text1"/>
          <w:sz w:val="32"/>
          <w:szCs w:val="30"/>
        </w:rPr>
        <w:t>五、参考文献</w:t>
      </w:r>
    </w:p>
    <w:p w:rsidR="00990962" w:rsidRDefault="00806EEC">
      <w:pPr>
        <w:spacing w:line="520" w:lineRule="exact"/>
        <w:ind w:firstLineChars="200" w:firstLine="608"/>
        <w:rPr>
          <w:rFonts w:eastAsia="仿宋"/>
          <w:color w:val="000000" w:themeColor="text1"/>
          <w:sz w:val="32"/>
          <w:szCs w:val="30"/>
        </w:rPr>
      </w:pPr>
      <w:r>
        <w:rPr>
          <w:rFonts w:eastAsia="仿宋" w:hAnsi="仿宋"/>
          <w:color w:val="000000" w:themeColor="text1"/>
          <w:spacing w:val="-8"/>
          <w:sz w:val="32"/>
          <w:szCs w:val="30"/>
        </w:rPr>
        <w:t>（一）《体外诊断试剂注册管理办法》（</w:t>
      </w:r>
      <w:r>
        <w:rPr>
          <w:rFonts w:eastAsia="仿宋" w:hAnsi="仿宋"/>
          <w:color w:val="000000" w:themeColor="text1"/>
          <w:sz w:val="32"/>
          <w:szCs w:val="30"/>
        </w:rPr>
        <w:t>国家食品药品监督管理总局令第</w:t>
      </w:r>
      <w:r>
        <w:rPr>
          <w:rFonts w:eastAsia="仿宋"/>
          <w:color w:val="000000" w:themeColor="text1"/>
          <w:sz w:val="32"/>
          <w:szCs w:val="30"/>
        </w:rPr>
        <w:t>5</w:t>
      </w:r>
      <w:r>
        <w:rPr>
          <w:rFonts w:eastAsia="仿宋" w:hAnsi="仿宋"/>
          <w:color w:val="000000" w:themeColor="text1"/>
          <w:sz w:val="32"/>
          <w:szCs w:val="30"/>
        </w:rPr>
        <w:t xml:space="preserve">号）　</w:t>
      </w:r>
    </w:p>
    <w:p w:rsidR="00990962" w:rsidRDefault="00806EEC">
      <w:pPr>
        <w:spacing w:line="520" w:lineRule="exact"/>
        <w:ind w:firstLineChars="200" w:firstLine="640"/>
        <w:jc w:val="left"/>
        <w:rPr>
          <w:rFonts w:eastAsia="仿宋"/>
          <w:color w:val="000000" w:themeColor="text1"/>
          <w:sz w:val="32"/>
          <w:szCs w:val="30"/>
        </w:rPr>
      </w:pPr>
      <w:r>
        <w:rPr>
          <w:rFonts w:eastAsia="仿宋" w:hAnsi="仿宋"/>
          <w:color w:val="000000" w:themeColor="text1"/>
          <w:sz w:val="32"/>
          <w:szCs w:val="30"/>
        </w:rPr>
        <w:t>（二）《关于发布体外诊断试剂临床试验技术指导原则的通告》（国家食品药品监督管理总局通告</w:t>
      </w:r>
      <w:r>
        <w:rPr>
          <w:rFonts w:eastAsia="仿宋"/>
          <w:color w:val="000000" w:themeColor="text1"/>
          <w:sz w:val="32"/>
          <w:szCs w:val="30"/>
        </w:rPr>
        <w:t>2014</w:t>
      </w:r>
      <w:r>
        <w:rPr>
          <w:rFonts w:eastAsia="仿宋" w:hAnsi="仿宋"/>
          <w:color w:val="000000" w:themeColor="text1"/>
          <w:sz w:val="32"/>
          <w:szCs w:val="30"/>
        </w:rPr>
        <w:t>年第</w:t>
      </w:r>
      <w:r>
        <w:rPr>
          <w:rFonts w:eastAsia="仿宋"/>
          <w:color w:val="000000" w:themeColor="text1"/>
          <w:sz w:val="32"/>
          <w:szCs w:val="30"/>
        </w:rPr>
        <w:t>16</w:t>
      </w:r>
      <w:r>
        <w:rPr>
          <w:rFonts w:eastAsia="仿宋" w:hAnsi="仿宋"/>
          <w:color w:val="000000" w:themeColor="text1"/>
          <w:sz w:val="32"/>
          <w:szCs w:val="30"/>
        </w:rPr>
        <w:t>号）</w:t>
      </w:r>
    </w:p>
    <w:p w:rsidR="00990962" w:rsidRDefault="00806EEC">
      <w:pPr>
        <w:spacing w:line="520" w:lineRule="exact"/>
        <w:ind w:firstLineChars="200" w:firstLine="640"/>
        <w:jc w:val="left"/>
        <w:rPr>
          <w:rFonts w:eastAsia="仿宋"/>
          <w:color w:val="000000" w:themeColor="text1"/>
          <w:sz w:val="32"/>
          <w:szCs w:val="30"/>
        </w:rPr>
      </w:pPr>
      <w:r>
        <w:rPr>
          <w:rFonts w:eastAsia="仿宋" w:hAnsi="仿宋"/>
          <w:color w:val="000000" w:themeColor="text1"/>
          <w:sz w:val="32"/>
          <w:szCs w:val="30"/>
        </w:rPr>
        <w:t>（三）《关于发布体外诊断试剂说明书编写指导原则的通告》（国家食品药品监督管理总局通告</w:t>
      </w:r>
      <w:r>
        <w:rPr>
          <w:rFonts w:eastAsia="仿宋"/>
          <w:color w:val="000000" w:themeColor="text1"/>
          <w:sz w:val="32"/>
          <w:szCs w:val="30"/>
        </w:rPr>
        <w:t>2014</w:t>
      </w:r>
      <w:r>
        <w:rPr>
          <w:rFonts w:eastAsia="仿宋" w:hAnsi="仿宋"/>
          <w:color w:val="000000" w:themeColor="text1"/>
          <w:sz w:val="32"/>
          <w:szCs w:val="30"/>
        </w:rPr>
        <w:t>年第</w:t>
      </w:r>
      <w:r>
        <w:rPr>
          <w:rFonts w:eastAsia="仿宋"/>
          <w:color w:val="000000" w:themeColor="text1"/>
          <w:sz w:val="32"/>
          <w:szCs w:val="30"/>
        </w:rPr>
        <w:t>17</w:t>
      </w:r>
      <w:r>
        <w:rPr>
          <w:rFonts w:eastAsia="仿宋" w:hAnsi="仿宋"/>
          <w:color w:val="000000" w:themeColor="text1"/>
          <w:sz w:val="32"/>
          <w:szCs w:val="30"/>
        </w:rPr>
        <w:t>号）</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（四）《关于公布体外诊断试剂注册申报资料要求和批准证明文件格式的公告》（国家食品药品监督管理总局公告</w:t>
      </w:r>
      <w:r>
        <w:rPr>
          <w:rFonts w:eastAsia="仿宋"/>
          <w:color w:val="000000" w:themeColor="text1"/>
          <w:sz w:val="32"/>
          <w:szCs w:val="30"/>
        </w:rPr>
        <w:t>2014</w:t>
      </w:r>
      <w:r>
        <w:rPr>
          <w:rFonts w:eastAsia="仿宋" w:hAnsi="仿宋"/>
          <w:color w:val="000000" w:themeColor="text1"/>
          <w:sz w:val="32"/>
          <w:szCs w:val="30"/>
        </w:rPr>
        <w:t>年第</w:t>
      </w:r>
      <w:r>
        <w:rPr>
          <w:rFonts w:eastAsia="仿宋"/>
          <w:color w:val="000000" w:themeColor="text1"/>
          <w:sz w:val="32"/>
          <w:szCs w:val="30"/>
        </w:rPr>
        <w:t>44</w:t>
      </w:r>
      <w:r>
        <w:rPr>
          <w:rFonts w:eastAsia="仿宋" w:hAnsi="仿宋"/>
          <w:color w:val="000000" w:themeColor="text1"/>
          <w:sz w:val="32"/>
          <w:szCs w:val="30"/>
        </w:rPr>
        <w:t>号）</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（五）</w:t>
      </w:r>
      <w:r>
        <w:rPr>
          <w:rFonts w:eastAsia="仿宋" w:hAnsi="仿宋"/>
          <w:color w:val="000000" w:themeColor="text1"/>
          <w:sz w:val="32"/>
          <w:szCs w:val="30"/>
        </w:rPr>
        <w:t xml:space="preserve">GB/T 21415-2008 </w:t>
      </w:r>
      <w:r>
        <w:rPr>
          <w:rFonts w:eastAsia="仿宋" w:hAnsi="仿宋"/>
          <w:color w:val="000000" w:themeColor="text1"/>
          <w:sz w:val="32"/>
          <w:szCs w:val="30"/>
        </w:rPr>
        <w:t>体外诊断医疗器械生物样品中量的测量校准品和控制物质赋值的计量学溯源性</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（六）</w:t>
      </w:r>
      <w:r>
        <w:rPr>
          <w:rFonts w:eastAsia="仿宋" w:hAnsi="仿宋"/>
          <w:color w:val="000000" w:themeColor="text1"/>
          <w:sz w:val="32"/>
          <w:szCs w:val="30"/>
        </w:rPr>
        <w:t>GB/T 26124-2011</w:t>
      </w:r>
      <w:r>
        <w:rPr>
          <w:rFonts w:eastAsia="仿宋" w:hAnsi="仿宋"/>
          <w:color w:val="000000" w:themeColor="text1"/>
          <w:sz w:val="32"/>
          <w:szCs w:val="30"/>
        </w:rPr>
        <w:t>临床化学体外诊断试剂盒</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（七）</w:t>
      </w:r>
      <w:r>
        <w:rPr>
          <w:rFonts w:eastAsia="仿宋" w:hAnsi="仿宋"/>
          <w:color w:val="000000" w:themeColor="text1"/>
          <w:sz w:val="32"/>
          <w:szCs w:val="30"/>
        </w:rPr>
        <w:t>YY/T 1227-2014</w:t>
      </w:r>
      <w:r>
        <w:rPr>
          <w:rFonts w:eastAsia="仿宋" w:hAnsi="仿宋"/>
          <w:color w:val="000000" w:themeColor="text1"/>
          <w:sz w:val="32"/>
          <w:szCs w:val="30"/>
        </w:rPr>
        <w:t>临床化学体外诊断试剂</w:t>
      </w:r>
      <w:r>
        <w:rPr>
          <w:rFonts w:eastAsia="仿宋" w:hAnsi="仿宋" w:hint="eastAsia"/>
          <w:color w:val="000000" w:themeColor="text1"/>
          <w:sz w:val="32"/>
          <w:szCs w:val="30"/>
        </w:rPr>
        <w:t>（</w:t>
      </w:r>
      <w:r>
        <w:rPr>
          <w:rFonts w:eastAsia="仿宋" w:hAnsi="仿宋"/>
          <w:color w:val="000000" w:themeColor="text1"/>
          <w:sz w:val="32"/>
          <w:szCs w:val="30"/>
        </w:rPr>
        <w:t>盒</w:t>
      </w:r>
      <w:r>
        <w:rPr>
          <w:rFonts w:eastAsia="仿宋" w:hAnsi="仿宋" w:hint="eastAsia"/>
          <w:color w:val="000000" w:themeColor="text1"/>
          <w:sz w:val="32"/>
          <w:szCs w:val="30"/>
        </w:rPr>
        <w:t>）</w:t>
      </w:r>
      <w:r>
        <w:rPr>
          <w:rFonts w:eastAsia="仿宋" w:hAnsi="仿宋"/>
          <w:color w:val="000000" w:themeColor="text1"/>
          <w:sz w:val="32"/>
          <w:szCs w:val="30"/>
        </w:rPr>
        <w:t>命名</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（八</w:t>
      </w:r>
      <w:r w:rsidR="0076342C">
        <w:rPr>
          <w:rFonts w:eastAsia="仿宋" w:hAnsi="仿宋"/>
          <w:color w:val="000000" w:themeColor="text1"/>
          <w:sz w:val="32"/>
          <w:szCs w:val="30"/>
        </w:rPr>
        <w:t>）</w:t>
      </w:r>
      <w:r w:rsidR="0076342C">
        <w:rPr>
          <w:rFonts w:eastAsia="仿宋" w:hAnsi="仿宋" w:hint="eastAsia"/>
          <w:color w:val="000000" w:themeColor="text1"/>
          <w:sz w:val="32"/>
          <w:szCs w:val="30"/>
        </w:rPr>
        <w:t xml:space="preserve"> </w:t>
      </w:r>
      <w:r>
        <w:rPr>
          <w:rFonts w:eastAsia="仿宋" w:hAnsi="仿宋"/>
          <w:color w:val="000000" w:themeColor="text1"/>
          <w:sz w:val="32"/>
          <w:szCs w:val="30"/>
        </w:rPr>
        <w:t>YY/T 12</w:t>
      </w:r>
      <w:r>
        <w:rPr>
          <w:rFonts w:eastAsia="仿宋" w:hAnsi="仿宋" w:hint="eastAsia"/>
          <w:color w:val="000000" w:themeColor="text1"/>
          <w:sz w:val="32"/>
          <w:szCs w:val="30"/>
        </w:rPr>
        <w:t>5</w:t>
      </w:r>
      <w:r>
        <w:rPr>
          <w:rFonts w:eastAsia="仿宋" w:hAnsi="仿宋"/>
          <w:color w:val="000000" w:themeColor="text1"/>
          <w:sz w:val="32"/>
          <w:szCs w:val="30"/>
        </w:rPr>
        <w:t>4-201</w:t>
      </w:r>
      <w:r>
        <w:rPr>
          <w:rFonts w:eastAsia="仿宋" w:hAnsi="仿宋" w:hint="eastAsia"/>
          <w:color w:val="000000" w:themeColor="text1"/>
          <w:sz w:val="32"/>
          <w:szCs w:val="30"/>
        </w:rPr>
        <w:t>5</w:t>
      </w:r>
      <w:r>
        <w:rPr>
          <w:rFonts w:eastAsia="仿宋" w:hAnsi="仿宋" w:hint="eastAsia"/>
          <w:color w:val="000000" w:themeColor="text1"/>
          <w:sz w:val="32"/>
          <w:szCs w:val="30"/>
        </w:rPr>
        <w:t>高密度脂蛋白胆固醇测定试剂（盒）</w:t>
      </w:r>
      <w:r>
        <w:rPr>
          <w:rFonts w:eastAsia="仿宋" w:hAnsi="仿宋" w:hint="eastAsia"/>
          <w:color w:val="000000" w:themeColor="text1"/>
          <w:sz w:val="32"/>
          <w:szCs w:val="30"/>
        </w:rPr>
        <w:t xml:space="preserve"> </w:t>
      </w:r>
    </w:p>
    <w:p w:rsidR="00990962" w:rsidRDefault="00806EEC">
      <w:pPr>
        <w:tabs>
          <w:tab w:val="left" w:pos="3948"/>
        </w:tabs>
        <w:snapToGrid w:val="0"/>
        <w:spacing w:line="560" w:lineRule="exact"/>
        <w:jc w:val="center"/>
        <w:rPr>
          <w:rFonts w:eastAsia="方正小标宋简体"/>
          <w:color w:val="000000" w:themeColor="text1"/>
          <w:sz w:val="44"/>
          <w:szCs w:val="44"/>
        </w:rPr>
      </w:pPr>
      <w:r>
        <w:rPr>
          <w:rFonts w:eastAsia="方正小标宋简体"/>
          <w:color w:val="000000" w:themeColor="text1"/>
          <w:sz w:val="44"/>
          <w:szCs w:val="44"/>
        </w:rPr>
        <w:lastRenderedPageBreak/>
        <w:t>高密度脂蛋白胆固醇测定试剂（盒）注册技术审查指导原则编制说明</w:t>
      </w:r>
    </w:p>
    <w:p w:rsidR="00990962" w:rsidRDefault="00990962">
      <w:pPr>
        <w:tabs>
          <w:tab w:val="left" w:pos="3948"/>
        </w:tabs>
        <w:snapToGrid w:val="0"/>
        <w:spacing w:line="540" w:lineRule="exact"/>
        <w:ind w:firstLineChars="200" w:firstLine="720"/>
        <w:jc w:val="center"/>
        <w:rPr>
          <w:rFonts w:eastAsia="方正小标宋_GBK"/>
          <w:color w:val="000000" w:themeColor="text1"/>
          <w:sz w:val="36"/>
          <w:szCs w:val="36"/>
        </w:rPr>
      </w:pPr>
    </w:p>
    <w:p w:rsidR="00990962" w:rsidRDefault="00806EEC">
      <w:pPr>
        <w:tabs>
          <w:tab w:val="left" w:pos="3948"/>
        </w:tabs>
        <w:snapToGrid w:val="0"/>
        <w:spacing w:line="540" w:lineRule="exact"/>
        <w:ind w:firstLineChars="200" w:firstLine="640"/>
        <w:rPr>
          <w:rFonts w:eastAsia="黑体"/>
          <w:color w:val="000000" w:themeColor="text1"/>
          <w:sz w:val="32"/>
          <w:szCs w:val="32"/>
        </w:rPr>
      </w:pPr>
      <w:r>
        <w:rPr>
          <w:rFonts w:eastAsia="黑体"/>
          <w:color w:val="000000" w:themeColor="text1"/>
          <w:sz w:val="32"/>
          <w:szCs w:val="32"/>
        </w:rPr>
        <w:t>一、指导原则编写目的</w:t>
      </w:r>
    </w:p>
    <w:p w:rsidR="00990962" w:rsidRPr="00D627F9" w:rsidRDefault="00806EEC">
      <w:pPr>
        <w:spacing w:line="520" w:lineRule="exact"/>
        <w:ind w:firstLineChars="200" w:firstLine="640"/>
        <w:rPr>
          <w:rFonts w:eastAsia="仿宋" w:hAnsi="仿宋"/>
          <w:color w:val="000000" w:themeColor="text1"/>
          <w:sz w:val="32"/>
          <w:szCs w:val="32"/>
        </w:rPr>
      </w:pPr>
      <w:r w:rsidRPr="00D627F9">
        <w:rPr>
          <w:rFonts w:eastAsia="仿宋" w:hAnsi="仿宋"/>
          <w:color w:val="000000" w:themeColor="text1"/>
          <w:sz w:val="32"/>
          <w:szCs w:val="32"/>
        </w:rPr>
        <w:t>（一）本指导原则编写的目的是用于指导和规范高密度脂蛋白胆固醇检测试剂（盒）产品注册申报过程中审查人员对注册材料的技术审评；同时也可指导注册申请人的产品注册申报。</w:t>
      </w:r>
    </w:p>
    <w:p w:rsidR="00990962" w:rsidRPr="00D627F9" w:rsidRDefault="00806EEC">
      <w:pPr>
        <w:spacing w:line="520" w:lineRule="exact"/>
        <w:ind w:firstLineChars="200" w:firstLine="640"/>
        <w:rPr>
          <w:rFonts w:eastAsia="仿宋" w:hAnsi="仿宋"/>
          <w:color w:val="000000" w:themeColor="text1"/>
          <w:sz w:val="32"/>
          <w:szCs w:val="32"/>
        </w:rPr>
      </w:pPr>
      <w:r w:rsidRPr="00D627F9">
        <w:rPr>
          <w:rFonts w:eastAsia="仿宋" w:hAnsi="仿宋"/>
          <w:color w:val="000000" w:themeColor="text1"/>
          <w:sz w:val="32"/>
          <w:szCs w:val="32"/>
        </w:rPr>
        <w:t>（二）本指导原则旨在让初次接触该类产品的注册审查人员对产品机理、结构、主要性能、预期用途等各个方面有所了解，同时让技术审查人员在产品注册技术审评时把握基本的尺度，对产品安全性、有效性</w:t>
      </w:r>
      <w:proofErr w:type="gramStart"/>
      <w:r w:rsidRPr="00D627F9">
        <w:rPr>
          <w:rFonts w:eastAsia="仿宋" w:hAnsi="仿宋"/>
          <w:color w:val="000000" w:themeColor="text1"/>
          <w:sz w:val="32"/>
          <w:szCs w:val="32"/>
        </w:rPr>
        <w:t>作出</w:t>
      </w:r>
      <w:proofErr w:type="gramEnd"/>
      <w:r w:rsidRPr="00D627F9">
        <w:rPr>
          <w:rFonts w:eastAsia="仿宋" w:hAnsi="仿宋"/>
          <w:color w:val="000000" w:themeColor="text1"/>
          <w:sz w:val="32"/>
          <w:szCs w:val="32"/>
        </w:rPr>
        <w:t>系统评价。</w:t>
      </w:r>
    </w:p>
    <w:p w:rsidR="00990962" w:rsidRDefault="00806EEC">
      <w:pPr>
        <w:spacing w:line="540" w:lineRule="exact"/>
        <w:ind w:firstLineChars="200" w:firstLine="640"/>
        <w:rPr>
          <w:rFonts w:eastAsia="仿宋"/>
          <w:color w:val="000000" w:themeColor="text1"/>
          <w:sz w:val="32"/>
          <w:szCs w:val="32"/>
        </w:rPr>
      </w:pPr>
      <w:r>
        <w:rPr>
          <w:rFonts w:eastAsia="仿宋" w:hAnsi="仿宋"/>
          <w:color w:val="000000" w:themeColor="text1"/>
          <w:sz w:val="32"/>
          <w:szCs w:val="32"/>
        </w:rPr>
        <w:t>（三）由于高密度脂蛋白胆固醇测定试剂（盒）产品仍在不断发展，审查人员仍需从风险分析的角度认真确认申报产品的预期用途与风险管理是否相当；由于我国医疗器械法规框架仍在构建中，审查人员仍需密切关注相关法规、标准及最新进展，关注审评产品实际组成、原理、预期用途等方面的个性特征，以保证产品审评符合现行法规安全、有效的要求。</w:t>
      </w:r>
    </w:p>
    <w:p w:rsidR="00990962" w:rsidRDefault="00806EEC">
      <w:pPr>
        <w:tabs>
          <w:tab w:val="left" w:pos="3948"/>
        </w:tabs>
        <w:snapToGrid w:val="0"/>
        <w:spacing w:line="540" w:lineRule="exact"/>
        <w:ind w:firstLineChars="200" w:firstLine="640"/>
        <w:rPr>
          <w:rFonts w:eastAsia="黑体"/>
          <w:color w:val="000000" w:themeColor="text1"/>
          <w:sz w:val="32"/>
          <w:szCs w:val="32"/>
        </w:rPr>
      </w:pPr>
      <w:r>
        <w:rPr>
          <w:rFonts w:eastAsia="黑体"/>
          <w:color w:val="000000" w:themeColor="text1"/>
          <w:sz w:val="32"/>
          <w:szCs w:val="32"/>
        </w:rPr>
        <w:t>二、指导原则编写依据</w:t>
      </w:r>
    </w:p>
    <w:p w:rsidR="00990962" w:rsidRDefault="00806EEC">
      <w:pPr>
        <w:spacing w:line="540" w:lineRule="exact"/>
        <w:ind w:firstLineChars="200" w:firstLine="640"/>
        <w:rPr>
          <w:rFonts w:eastAsia="仿宋"/>
          <w:color w:val="000000" w:themeColor="text1"/>
          <w:sz w:val="32"/>
          <w:szCs w:val="32"/>
        </w:rPr>
      </w:pPr>
      <w:r>
        <w:rPr>
          <w:rFonts w:eastAsia="仿宋" w:hAnsi="仿宋"/>
          <w:color w:val="000000" w:themeColor="text1"/>
          <w:sz w:val="32"/>
          <w:szCs w:val="32"/>
        </w:rPr>
        <w:t>（一）《医疗器械监督管理条例》（中华人民共和国国务院令第</w:t>
      </w:r>
      <w:r>
        <w:rPr>
          <w:rFonts w:eastAsia="仿宋"/>
          <w:color w:val="000000" w:themeColor="text1"/>
          <w:sz w:val="32"/>
          <w:szCs w:val="32"/>
        </w:rPr>
        <w:t>650</w:t>
      </w:r>
      <w:r>
        <w:rPr>
          <w:rFonts w:eastAsia="仿宋" w:hAnsi="仿宋"/>
          <w:color w:val="000000" w:themeColor="text1"/>
          <w:sz w:val="32"/>
          <w:szCs w:val="32"/>
        </w:rPr>
        <w:t>号）</w:t>
      </w:r>
    </w:p>
    <w:p w:rsidR="00990962" w:rsidRDefault="00806EEC">
      <w:pPr>
        <w:spacing w:line="520" w:lineRule="exact"/>
        <w:ind w:firstLineChars="200" w:firstLine="640"/>
        <w:jc w:val="left"/>
        <w:rPr>
          <w:rFonts w:eastAsia="仿宋"/>
          <w:color w:val="000000" w:themeColor="text1"/>
          <w:sz w:val="32"/>
          <w:szCs w:val="32"/>
        </w:rPr>
      </w:pPr>
      <w:r>
        <w:rPr>
          <w:rFonts w:eastAsia="仿宋" w:hAnsi="仿宋"/>
          <w:color w:val="000000" w:themeColor="text1"/>
          <w:sz w:val="32"/>
          <w:szCs w:val="32"/>
        </w:rPr>
        <w:t>（二）</w:t>
      </w:r>
      <w:r>
        <w:rPr>
          <w:rFonts w:eastAsia="仿宋" w:hAnsi="仿宋"/>
          <w:color w:val="000000" w:themeColor="text1"/>
          <w:spacing w:val="-8"/>
          <w:sz w:val="32"/>
          <w:szCs w:val="32"/>
        </w:rPr>
        <w:t>《体外诊断试剂注册管理办法》（</w:t>
      </w:r>
      <w:r>
        <w:rPr>
          <w:rFonts w:eastAsia="仿宋" w:hAnsi="仿宋"/>
          <w:color w:val="000000" w:themeColor="text1"/>
          <w:sz w:val="32"/>
          <w:szCs w:val="32"/>
        </w:rPr>
        <w:t>国家食品药品监督管理总局令第</w:t>
      </w:r>
      <w:r>
        <w:rPr>
          <w:rFonts w:eastAsia="仿宋"/>
          <w:color w:val="000000" w:themeColor="text1"/>
          <w:sz w:val="32"/>
          <w:szCs w:val="32"/>
        </w:rPr>
        <w:t>5</w:t>
      </w:r>
      <w:r>
        <w:rPr>
          <w:rFonts w:eastAsia="仿宋" w:hAnsi="仿宋"/>
          <w:color w:val="000000" w:themeColor="text1"/>
          <w:sz w:val="32"/>
          <w:szCs w:val="32"/>
        </w:rPr>
        <w:t xml:space="preserve">号）　</w:t>
      </w:r>
    </w:p>
    <w:p w:rsidR="00990962" w:rsidRDefault="00806EEC">
      <w:pPr>
        <w:spacing w:line="520" w:lineRule="exact"/>
        <w:ind w:firstLineChars="200" w:firstLine="640"/>
        <w:jc w:val="left"/>
        <w:rPr>
          <w:rFonts w:eastAsia="仿宋"/>
          <w:color w:val="000000" w:themeColor="text1"/>
          <w:sz w:val="32"/>
          <w:szCs w:val="32"/>
        </w:rPr>
      </w:pPr>
      <w:r>
        <w:rPr>
          <w:rFonts w:eastAsia="仿宋" w:hAnsi="仿宋"/>
          <w:color w:val="000000" w:themeColor="text1"/>
          <w:sz w:val="32"/>
          <w:szCs w:val="32"/>
        </w:rPr>
        <w:t>（三）《关于发布体外诊断试剂临床试验技术指导原则的通告》（国家食品药品监督管理总局通告</w:t>
      </w:r>
      <w:r>
        <w:rPr>
          <w:rFonts w:eastAsia="仿宋"/>
          <w:color w:val="000000" w:themeColor="text1"/>
          <w:sz w:val="32"/>
          <w:szCs w:val="32"/>
        </w:rPr>
        <w:t>2014</w:t>
      </w:r>
      <w:r>
        <w:rPr>
          <w:rFonts w:eastAsia="仿宋" w:hAnsi="仿宋"/>
          <w:color w:val="000000" w:themeColor="text1"/>
          <w:sz w:val="32"/>
          <w:szCs w:val="32"/>
        </w:rPr>
        <w:t>年第</w:t>
      </w:r>
      <w:r>
        <w:rPr>
          <w:rFonts w:eastAsia="仿宋"/>
          <w:color w:val="000000" w:themeColor="text1"/>
          <w:sz w:val="32"/>
          <w:szCs w:val="32"/>
        </w:rPr>
        <w:t>16</w:t>
      </w:r>
      <w:r>
        <w:rPr>
          <w:rFonts w:eastAsia="仿宋" w:hAnsi="仿宋"/>
          <w:color w:val="000000" w:themeColor="text1"/>
          <w:sz w:val="32"/>
          <w:szCs w:val="32"/>
        </w:rPr>
        <w:t>号）</w:t>
      </w:r>
    </w:p>
    <w:p w:rsidR="00990962" w:rsidRDefault="00806EEC">
      <w:pPr>
        <w:spacing w:line="520" w:lineRule="exact"/>
        <w:ind w:firstLineChars="200" w:firstLine="640"/>
        <w:jc w:val="left"/>
        <w:rPr>
          <w:rFonts w:eastAsia="仿宋"/>
          <w:color w:val="000000" w:themeColor="text1"/>
          <w:sz w:val="32"/>
          <w:szCs w:val="32"/>
        </w:rPr>
      </w:pPr>
      <w:r>
        <w:rPr>
          <w:rFonts w:eastAsia="仿宋" w:hAnsi="仿宋"/>
          <w:color w:val="000000" w:themeColor="text1"/>
          <w:sz w:val="32"/>
          <w:szCs w:val="32"/>
        </w:rPr>
        <w:t>（四）《关于发布体外诊断试剂说明书编写指导原则的通告》</w:t>
      </w:r>
      <w:r>
        <w:rPr>
          <w:rFonts w:eastAsia="仿宋" w:hAnsi="仿宋"/>
          <w:color w:val="000000" w:themeColor="text1"/>
          <w:sz w:val="32"/>
          <w:szCs w:val="32"/>
        </w:rPr>
        <w:lastRenderedPageBreak/>
        <w:t>（国家食品药品监督管理总局通告</w:t>
      </w:r>
      <w:r>
        <w:rPr>
          <w:rFonts w:eastAsia="仿宋"/>
          <w:color w:val="000000" w:themeColor="text1"/>
          <w:sz w:val="32"/>
          <w:szCs w:val="32"/>
        </w:rPr>
        <w:t>2014</w:t>
      </w:r>
      <w:r>
        <w:rPr>
          <w:rFonts w:eastAsia="仿宋" w:hAnsi="仿宋"/>
          <w:color w:val="000000" w:themeColor="text1"/>
          <w:sz w:val="32"/>
          <w:szCs w:val="32"/>
        </w:rPr>
        <w:t>年第</w:t>
      </w:r>
      <w:r>
        <w:rPr>
          <w:rFonts w:eastAsia="仿宋"/>
          <w:color w:val="000000" w:themeColor="text1"/>
          <w:sz w:val="32"/>
          <w:szCs w:val="32"/>
        </w:rPr>
        <w:t>17</w:t>
      </w:r>
      <w:r>
        <w:rPr>
          <w:rFonts w:eastAsia="仿宋" w:hAnsi="仿宋"/>
          <w:color w:val="000000" w:themeColor="text1"/>
          <w:sz w:val="32"/>
          <w:szCs w:val="32"/>
        </w:rPr>
        <w:t>号）</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（五）</w:t>
      </w:r>
      <w:r>
        <w:rPr>
          <w:rFonts w:eastAsia="仿宋" w:hAnsi="仿宋"/>
          <w:color w:val="000000" w:themeColor="text1"/>
          <w:sz w:val="32"/>
          <w:szCs w:val="30"/>
        </w:rPr>
        <w:t xml:space="preserve">GB/T 21415-2008 </w:t>
      </w:r>
      <w:r>
        <w:rPr>
          <w:rFonts w:eastAsia="仿宋" w:hAnsi="仿宋"/>
          <w:color w:val="000000" w:themeColor="text1"/>
          <w:sz w:val="32"/>
          <w:szCs w:val="30"/>
        </w:rPr>
        <w:t>体外诊断医疗器械生物样品中量的测量校准品和控制物质赋值的计量学溯源性</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（六）</w:t>
      </w:r>
      <w:r>
        <w:rPr>
          <w:rFonts w:eastAsia="仿宋" w:hAnsi="仿宋"/>
          <w:color w:val="000000" w:themeColor="text1"/>
          <w:sz w:val="32"/>
          <w:szCs w:val="30"/>
        </w:rPr>
        <w:t>GB/T 26124-2011</w:t>
      </w:r>
      <w:r>
        <w:rPr>
          <w:rFonts w:eastAsia="仿宋" w:hAnsi="仿宋"/>
          <w:color w:val="000000" w:themeColor="text1"/>
          <w:sz w:val="32"/>
          <w:szCs w:val="30"/>
        </w:rPr>
        <w:t>临床化学体外诊断试剂盒</w:t>
      </w:r>
    </w:p>
    <w:p w:rsidR="00990962" w:rsidRDefault="00806EEC">
      <w:pPr>
        <w:spacing w:line="520" w:lineRule="exact"/>
        <w:ind w:firstLineChars="200" w:firstLine="640"/>
        <w:jc w:val="left"/>
        <w:rPr>
          <w:rFonts w:eastAsia="仿宋" w:hAnsi="仿宋"/>
          <w:color w:val="000000" w:themeColor="text1"/>
          <w:sz w:val="32"/>
          <w:szCs w:val="30"/>
        </w:rPr>
      </w:pPr>
      <w:r>
        <w:rPr>
          <w:rFonts w:eastAsia="仿宋" w:hAnsi="仿宋"/>
          <w:color w:val="000000" w:themeColor="text1"/>
          <w:sz w:val="32"/>
          <w:szCs w:val="30"/>
        </w:rPr>
        <w:t>（七）</w:t>
      </w:r>
      <w:r>
        <w:rPr>
          <w:rFonts w:eastAsia="仿宋" w:hAnsi="仿宋"/>
          <w:color w:val="000000" w:themeColor="text1"/>
          <w:sz w:val="32"/>
          <w:szCs w:val="30"/>
        </w:rPr>
        <w:t>YY/T 1227-2014</w:t>
      </w:r>
      <w:r>
        <w:rPr>
          <w:rFonts w:eastAsia="仿宋" w:hAnsi="仿宋"/>
          <w:color w:val="000000" w:themeColor="text1"/>
          <w:sz w:val="32"/>
          <w:szCs w:val="30"/>
        </w:rPr>
        <w:t>临床化学体外诊断试剂</w:t>
      </w:r>
      <w:r>
        <w:rPr>
          <w:rFonts w:eastAsia="仿宋" w:hAnsi="仿宋" w:hint="eastAsia"/>
          <w:color w:val="000000" w:themeColor="text1"/>
          <w:sz w:val="32"/>
          <w:szCs w:val="30"/>
        </w:rPr>
        <w:t>（</w:t>
      </w:r>
      <w:r>
        <w:rPr>
          <w:rFonts w:eastAsia="仿宋" w:hAnsi="仿宋"/>
          <w:color w:val="000000" w:themeColor="text1"/>
          <w:sz w:val="32"/>
          <w:szCs w:val="30"/>
        </w:rPr>
        <w:t>盒</w:t>
      </w:r>
      <w:r>
        <w:rPr>
          <w:rFonts w:eastAsia="仿宋" w:hAnsi="仿宋" w:hint="eastAsia"/>
          <w:color w:val="000000" w:themeColor="text1"/>
          <w:sz w:val="32"/>
          <w:szCs w:val="30"/>
        </w:rPr>
        <w:t>）</w:t>
      </w:r>
      <w:r>
        <w:rPr>
          <w:rFonts w:eastAsia="仿宋" w:hAnsi="仿宋"/>
          <w:color w:val="000000" w:themeColor="text1"/>
          <w:sz w:val="32"/>
          <w:szCs w:val="30"/>
        </w:rPr>
        <w:t>命名</w:t>
      </w:r>
    </w:p>
    <w:p w:rsidR="00990962" w:rsidRDefault="00806EEC">
      <w:pPr>
        <w:spacing w:line="540" w:lineRule="exact"/>
        <w:ind w:firstLineChars="200" w:firstLine="640"/>
        <w:rPr>
          <w:rFonts w:eastAsia="仿宋"/>
          <w:color w:val="000000" w:themeColor="text1"/>
          <w:sz w:val="32"/>
          <w:szCs w:val="32"/>
        </w:rPr>
      </w:pPr>
      <w:r>
        <w:rPr>
          <w:rFonts w:eastAsia="仿宋" w:hAnsi="仿宋"/>
          <w:color w:val="000000" w:themeColor="text1"/>
          <w:sz w:val="32"/>
          <w:szCs w:val="30"/>
        </w:rPr>
        <w:t>（八）</w:t>
      </w:r>
      <w:r w:rsidR="00CE31A9" w:rsidRPr="00CE31A9">
        <w:rPr>
          <w:rFonts w:eastAsia="仿宋" w:hAnsi="仿宋" w:hint="eastAsia"/>
          <w:color w:val="000000" w:themeColor="text1"/>
          <w:sz w:val="36"/>
          <w:szCs w:val="30"/>
        </w:rPr>
        <w:t xml:space="preserve"> </w:t>
      </w:r>
      <w:r>
        <w:rPr>
          <w:rFonts w:eastAsia="仿宋" w:hAnsi="仿宋"/>
          <w:color w:val="000000" w:themeColor="text1"/>
          <w:sz w:val="32"/>
          <w:szCs w:val="30"/>
        </w:rPr>
        <w:t>YY/T 12</w:t>
      </w:r>
      <w:r>
        <w:rPr>
          <w:rFonts w:eastAsia="仿宋" w:hAnsi="仿宋" w:hint="eastAsia"/>
          <w:color w:val="000000" w:themeColor="text1"/>
          <w:sz w:val="32"/>
          <w:szCs w:val="30"/>
        </w:rPr>
        <w:t>5</w:t>
      </w:r>
      <w:r>
        <w:rPr>
          <w:rFonts w:eastAsia="仿宋" w:hAnsi="仿宋"/>
          <w:color w:val="000000" w:themeColor="text1"/>
          <w:sz w:val="32"/>
          <w:szCs w:val="30"/>
        </w:rPr>
        <w:t>4-201</w:t>
      </w:r>
      <w:r>
        <w:rPr>
          <w:rFonts w:eastAsia="仿宋" w:hAnsi="仿宋" w:hint="eastAsia"/>
          <w:color w:val="000000" w:themeColor="text1"/>
          <w:sz w:val="32"/>
          <w:szCs w:val="30"/>
        </w:rPr>
        <w:t>5</w:t>
      </w:r>
      <w:r>
        <w:rPr>
          <w:rFonts w:eastAsia="仿宋" w:hAnsi="仿宋" w:hint="eastAsia"/>
          <w:color w:val="000000" w:themeColor="text1"/>
          <w:sz w:val="32"/>
          <w:szCs w:val="30"/>
        </w:rPr>
        <w:t>高密度脂蛋白胆固醇测定试剂（盒）</w:t>
      </w:r>
    </w:p>
    <w:p w:rsidR="00990962" w:rsidRDefault="00806EEC">
      <w:pPr>
        <w:spacing w:line="540" w:lineRule="exact"/>
        <w:ind w:firstLineChars="200" w:firstLine="640"/>
        <w:rPr>
          <w:rFonts w:eastAsia="仿宋"/>
          <w:color w:val="000000" w:themeColor="text1"/>
          <w:sz w:val="32"/>
          <w:szCs w:val="32"/>
        </w:rPr>
      </w:pPr>
      <w:r>
        <w:rPr>
          <w:rFonts w:eastAsia="仿宋" w:hAnsi="仿宋"/>
          <w:color w:val="000000" w:themeColor="text1"/>
          <w:sz w:val="32"/>
          <w:szCs w:val="32"/>
        </w:rPr>
        <w:t>（九）国家食品药品监督管理部门发布的其他规范性文件</w:t>
      </w:r>
    </w:p>
    <w:p w:rsidR="00990962" w:rsidRDefault="00806EEC">
      <w:pPr>
        <w:tabs>
          <w:tab w:val="left" w:pos="3948"/>
        </w:tabs>
        <w:snapToGrid w:val="0"/>
        <w:spacing w:line="540" w:lineRule="exact"/>
        <w:ind w:firstLineChars="200" w:firstLine="640"/>
        <w:rPr>
          <w:rFonts w:eastAsia="黑体"/>
          <w:color w:val="000000" w:themeColor="text1"/>
          <w:sz w:val="32"/>
          <w:szCs w:val="32"/>
        </w:rPr>
      </w:pPr>
      <w:r>
        <w:rPr>
          <w:rFonts w:eastAsia="黑体"/>
          <w:color w:val="000000" w:themeColor="text1"/>
          <w:sz w:val="32"/>
          <w:szCs w:val="32"/>
        </w:rPr>
        <w:t>三、指导原则重点内容说明</w:t>
      </w:r>
    </w:p>
    <w:p w:rsidR="00990962" w:rsidRDefault="00806EEC">
      <w:pPr>
        <w:spacing w:line="520" w:lineRule="exact"/>
        <w:ind w:firstLineChars="200" w:firstLine="640"/>
        <w:rPr>
          <w:rFonts w:eastAsia="仿宋" w:hAnsi="仿宋"/>
          <w:color w:val="000000" w:themeColor="text1"/>
          <w:sz w:val="32"/>
          <w:szCs w:val="32"/>
        </w:rPr>
      </w:pPr>
      <w:r>
        <w:rPr>
          <w:rFonts w:eastAsia="仿宋" w:hAnsi="仿宋"/>
          <w:color w:val="000000" w:themeColor="text1"/>
          <w:sz w:val="32"/>
          <w:szCs w:val="32"/>
        </w:rPr>
        <w:t>（</w:t>
      </w:r>
      <w:r>
        <w:rPr>
          <w:rFonts w:eastAsia="仿宋" w:hAnsi="仿宋" w:hint="eastAsia"/>
          <w:color w:val="000000" w:themeColor="text1"/>
          <w:sz w:val="32"/>
          <w:szCs w:val="32"/>
        </w:rPr>
        <w:t>一</w:t>
      </w:r>
      <w:r>
        <w:rPr>
          <w:rFonts w:eastAsia="仿宋" w:hAnsi="仿宋"/>
          <w:color w:val="000000" w:themeColor="text1"/>
          <w:sz w:val="32"/>
          <w:szCs w:val="32"/>
        </w:rPr>
        <w:t>）</w:t>
      </w:r>
      <w:r>
        <w:rPr>
          <w:rFonts w:eastAsia="仿宋" w:hAnsi="仿宋"/>
          <w:bCs/>
          <w:color w:val="000000" w:themeColor="text1"/>
          <w:sz w:val="32"/>
          <w:szCs w:val="32"/>
        </w:rPr>
        <w:t>2016</w:t>
      </w:r>
      <w:r>
        <w:rPr>
          <w:rFonts w:eastAsia="仿宋" w:hAnsi="仿宋" w:hint="eastAsia"/>
          <w:bCs/>
          <w:color w:val="000000" w:themeColor="text1"/>
          <w:sz w:val="32"/>
          <w:szCs w:val="32"/>
        </w:rPr>
        <w:t>年</w:t>
      </w:r>
      <w:r>
        <w:rPr>
          <w:rFonts w:eastAsia="仿宋" w:hAnsi="仿宋"/>
          <w:bCs/>
          <w:color w:val="000000" w:themeColor="text1"/>
          <w:sz w:val="32"/>
          <w:szCs w:val="32"/>
        </w:rPr>
        <w:t>3</w:t>
      </w:r>
      <w:r>
        <w:rPr>
          <w:rFonts w:eastAsia="仿宋" w:hAnsi="仿宋" w:hint="eastAsia"/>
          <w:bCs/>
          <w:color w:val="000000" w:themeColor="text1"/>
          <w:sz w:val="32"/>
          <w:szCs w:val="32"/>
        </w:rPr>
        <w:t>月</w:t>
      </w:r>
      <w:r>
        <w:rPr>
          <w:rFonts w:eastAsia="仿宋" w:hAnsi="仿宋"/>
          <w:bCs/>
          <w:color w:val="000000" w:themeColor="text1"/>
          <w:sz w:val="32"/>
          <w:szCs w:val="32"/>
        </w:rPr>
        <w:t>10</w:t>
      </w:r>
      <w:r>
        <w:rPr>
          <w:rFonts w:eastAsia="仿宋" w:hAnsi="仿宋" w:hint="eastAsia"/>
          <w:bCs/>
          <w:color w:val="000000" w:themeColor="text1"/>
          <w:sz w:val="32"/>
          <w:szCs w:val="32"/>
        </w:rPr>
        <w:t>日《科学》杂志一篇文章中的临床研究对高密度脂蛋白胆固醇的传统临床意义提出了质疑。申报人应关注科技发展，结合临床不断深入研究该产品的预期用途，尤其应对其临床意义进行评价、研究、再评价。技术审评人员应结合科技发展水平对此做出客观、综合的审评结论。</w:t>
      </w:r>
    </w:p>
    <w:p w:rsidR="00990962" w:rsidRDefault="00806EEC">
      <w:pPr>
        <w:spacing w:line="520" w:lineRule="exact"/>
        <w:ind w:firstLineChars="200" w:firstLine="640"/>
        <w:rPr>
          <w:rFonts w:eastAsia="仿宋"/>
          <w:color w:val="000000" w:themeColor="text1"/>
          <w:sz w:val="32"/>
          <w:szCs w:val="32"/>
        </w:rPr>
      </w:pPr>
      <w:r>
        <w:rPr>
          <w:rFonts w:eastAsia="仿宋" w:hAnsi="仿宋" w:hint="eastAsia"/>
          <w:color w:val="000000" w:themeColor="text1"/>
          <w:sz w:val="32"/>
          <w:szCs w:val="32"/>
        </w:rPr>
        <w:t>（二）</w:t>
      </w:r>
      <w:r>
        <w:rPr>
          <w:rFonts w:eastAsia="仿宋" w:hAnsi="仿宋"/>
          <w:color w:val="000000" w:themeColor="text1"/>
          <w:sz w:val="32"/>
          <w:szCs w:val="32"/>
        </w:rPr>
        <w:t>产品的具体性能指标主要参考了</w:t>
      </w:r>
      <w:r>
        <w:rPr>
          <w:rFonts w:eastAsia="仿宋" w:hAnsi="仿宋"/>
          <w:color w:val="000000" w:themeColor="text1"/>
          <w:sz w:val="32"/>
          <w:szCs w:val="30"/>
        </w:rPr>
        <w:t>YY/T 1254-2015</w:t>
      </w:r>
      <w:r>
        <w:rPr>
          <w:rFonts w:eastAsia="仿宋" w:hAnsi="仿宋" w:hint="eastAsia"/>
          <w:color w:val="000000" w:themeColor="text1"/>
          <w:sz w:val="32"/>
          <w:szCs w:val="30"/>
        </w:rPr>
        <w:t>高密度脂蛋白胆固醇测定试剂（盒）</w:t>
      </w:r>
      <w:r>
        <w:rPr>
          <w:rFonts w:eastAsia="仿宋" w:hAnsi="仿宋"/>
          <w:color w:val="000000" w:themeColor="text1"/>
          <w:sz w:val="32"/>
          <w:szCs w:val="32"/>
        </w:rPr>
        <w:t>行业标准。</w:t>
      </w:r>
    </w:p>
    <w:p w:rsidR="00990962" w:rsidRDefault="00806EEC">
      <w:pPr>
        <w:spacing w:line="540" w:lineRule="exact"/>
        <w:ind w:firstLineChars="200" w:firstLine="640"/>
        <w:rPr>
          <w:rFonts w:eastAsia="仿宋" w:hAnsi="仿宋"/>
          <w:color w:val="000000" w:themeColor="text1"/>
          <w:sz w:val="32"/>
          <w:szCs w:val="30"/>
        </w:rPr>
      </w:pPr>
      <w:r>
        <w:rPr>
          <w:rFonts w:eastAsia="仿宋" w:hAnsi="仿宋" w:hint="eastAsia"/>
          <w:color w:val="000000" w:themeColor="text1"/>
          <w:sz w:val="32"/>
          <w:szCs w:val="30"/>
        </w:rPr>
        <w:t>（三）准确度检验方法在</w:t>
      </w:r>
      <w:r>
        <w:rPr>
          <w:rFonts w:eastAsia="仿宋" w:hAnsi="仿宋"/>
          <w:color w:val="000000" w:themeColor="text1"/>
          <w:sz w:val="32"/>
          <w:szCs w:val="30"/>
        </w:rPr>
        <w:t>YY/T 1254-2015</w:t>
      </w:r>
      <w:r>
        <w:rPr>
          <w:rFonts w:eastAsia="仿宋" w:hAnsi="仿宋" w:hint="eastAsia"/>
          <w:color w:val="000000" w:themeColor="text1"/>
          <w:sz w:val="32"/>
          <w:szCs w:val="30"/>
        </w:rPr>
        <w:t>中相对偏差方法的基础上增加了比对试验和回收试验，是基于</w:t>
      </w:r>
      <w:r>
        <w:rPr>
          <w:rFonts w:eastAsia="仿宋" w:hAnsi="仿宋"/>
          <w:color w:val="000000" w:themeColor="text1"/>
          <w:sz w:val="32"/>
          <w:szCs w:val="30"/>
        </w:rPr>
        <w:t>GB/T 26124-2011</w:t>
      </w:r>
      <w:r>
        <w:rPr>
          <w:rFonts w:eastAsia="仿宋" w:hAnsi="仿宋" w:hint="eastAsia"/>
          <w:color w:val="000000" w:themeColor="text1"/>
          <w:sz w:val="32"/>
          <w:szCs w:val="30"/>
        </w:rPr>
        <w:t>的要求和参考了已上市同类产品的性能指标及检验方法。</w:t>
      </w:r>
    </w:p>
    <w:p w:rsidR="00990962" w:rsidRDefault="00806EEC">
      <w:pPr>
        <w:spacing w:line="540" w:lineRule="exact"/>
        <w:ind w:firstLineChars="200" w:firstLine="640"/>
        <w:rPr>
          <w:rFonts w:eastAsia="仿宋" w:hAnsi="仿宋"/>
          <w:color w:val="000000" w:themeColor="text1"/>
          <w:sz w:val="32"/>
          <w:szCs w:val="30"/>
        </w:rPr>
      </w:pPr>
      <w:r>
        <w:rPr>
          <w:rFonts w:eastAsia="仿宋" w:hAnsi="仿宋" w:hint="eastAsia"/>
          <w:color w:val="000000" w:themeColor="text1"/>
          <w:sz w:val="32"/>
          <w:szCs w:val="30"/>
        </w:rPr>
        <w:t>（四）目前该产品没有国家标准品，只有国家标准物质，</w:t>
      </w:r>
      <w:r w:rsidR="00DD6589">
        <w:rPr>
          <w:rFonts w:eastAsia="仿宋" w:hAnsi="仿宋" w:hint="eastAsia"/>
          <w:color w:val="000000" w:themeColor="text1"/>
          <w:sz w:val="32"/>
          <w:szCs w:val="30"/>
        </w:rPr>
        <w:t>例如</w:t>
      </w:r>
      <w:r>
        <w:rPr>
          <w:rFonts w:eastAsia="仿宋" w:hAnsi="仿宋"/>
          <w:color w:val="000000" w:themeColor="text1"/>
          <w:sz w:val="32"/>
          <w:szCs w:val="30"/>
        </w:rPr>
        <w:t>GBW09179</w:t>
      </w:r>
      <w:r>
        <w:rPr>
          <w:rFonts w:eastAsia="仿宋" w:hAnsi="仿宋" w:hint="eastAsia"/>
          <w:color w:val="000000" w:themeColor="text1"/>
          <w:sz w:val="32"/>
          <w:szCs w:val="30"/>
        </w:rPr>
        <w:t>，推荐使用</w:t>
      </w:r>
      <w:r w:rsidR="00DD6589">
        <w:rPr>
          <w:rFonts w:eastAsia="仿宋" w:hAnsi="仿宋" w:hint="eastAsia"/>
          <w:color w:val="000000" w:themeColor="text1"/>
          <w:sz w:val="32"/>
          <w:szCs w:val="30"/>
        </w:rPr>
        <w:t>国家标准物质</w:t>
      </w:r>
      <w:r>
        <w:rPr>
          <w:rFonts w:eastAsia="仿宋" w:hAnsi="仿宋" w:hint="eastAsia"/>
          <w:color w:val="000000" w:themeColor="text1"/>
          <w:sz w:val="32"/>
          <w:szCs w:val="30"/>
        </w:rPr>
        <w:t>作为有证参考物质进行准确度测试。</w:t>
      </w:r>
    </w:p>
    <w:p w:rsidR="00990962" w:rsidRDefault="00806EEC">
      <w:pPr>
        <w:tabs>
          <w:tab w:val="left" w:pos="3948"/>
        </w:tabs>
        <w:snapToGrid w:val="0"/>
        <w:spacing w:line="540" w:lineRule="exact"/>
        <w:ind w:firstLineChars="200" w:firstLine="640"/>
        <w:rPr>
          <w:rFonts w:eastAsia="黑体"/>
          <w:color w:val="000000" w:themeColor="text1"/>
          <w:sz w:val="32"/>
          <w:szCs w:val="32"/>
        </w:rPr>
      </w:pPr>
      <w:r>
        <w:rPr>
          <w:rFonts w:eastAsia="黑体"/>
          <w:color w:val="000000" w:themeColor="text1"/>
          <w:sz w:val="32"/>
          <w:szCs w:val="32"/>
        </w:rPr>
        <w:t>四、指导原则编写单位和人员</w:t>
      </w:r>
    </w:p>
    <w:p w:rsidR="00990962" w:rsidRDefault="00806EEC">
      <w:pPr>
        <w:spacing w:line="540" w:lineRule="exact"/>
        <w:ind w:firstLineChars="200" w:firstLine="640"/>
        <w:rPr>
          <w:rFonts w:eastAsia="仿宋" w:hAnsi="仿宋"/>
          <w:color w:val="000000" w:themeColor="text1"/>
          <w:sz w:val="32"/>
          <w:szCs w:val="32"/>
        </w:rPr>
      </w:pPr>
      <w:r>
        <w:rPr>
          <w:rFonts w:eastAsia="仿宋" w:hAnsi="仿宋"/>
          <w:color w:val="000000" w:themeColor="text1"/>
          <w:sz w:val="32"/>
          <w:szCs w:val="32"/>
        </w:rPr>
        <w:t>本指导原则的编写成员由山东省医疗器械注册技术审评人员、检验和临床专家共同组成。</w:t>
      </w:r>
    </w:p>
    <w:p w:rsidR="00990962" w:rsidRDefault="00806EEC">
      <w:pPr>
        <w:spacing w:line="540" w:lineRule="exact"/>
        <w:ind w:firstLineChars="200" w:firstLine="640"/>
        <w:rPr>
          <w:rFonts w:eastAsia="仿宋"/>
          <w:color w:val="000000" w:themeColor="text1"/>
          <w:sz w:val="32"/>
          <w:szCs w:val="32"/>
        </w:rPr>
      </w:pPr>
      <w:r>
        <w:rPr>
          <w:rFonts w:eastAsia="仿宋" w:hAnsi="仿宋" w:hint="eastAsia"/>
          <w:color w:val="000000" w:themeColor="text1"/>
          <w:sz w:val="32"/>
          <w:szCs w:val="32"/>
        </w:rPr>
        <w:t>合作单位：湖南省食品药品监督管理局</w:t>
      </w:r>
    </w:p>
    <w:sectPr w:rsidR="00990962" w:rsidSect="00990962">
      <w:footerReference w:type="even" r:id="rId32"/>
      <w:footerReference w:type="default" r:id="rId33"/>
      <w:pgSz w:w="11906" w:h="16838"/>
      <w:pgMar w:top="1758" w:right="1531" w:bottom="1588" w:left="1531"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A8" w:rsidRDefault="00854EA8" w:rsidP="00990962">
      <w:r>
        <w:separator/>
      </w:r>
    </w:p>
  </w:endnote>
  <w:endnote w:type="continuationSeparator" w:id="0">
    <w:p w:rsidR="00854EA8" w:rsidRDefault="00854EA8" w:rsidP="00990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62" w:rsidRDefault="00806EEC">
    <w:pPr>
      <w:pStyle w:val="a6"/>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sidR="008B3922">
      <w:rPr>
        <w:sz w:val="28"/>
        <w:szCs w:val="28"/>
      </w:rPr>
      <w:fldChar w:fldCharType="begin"/>
    </w:r>
    <w:r>
      <w:rPr>
        <w:sz w:val="28"/>
        <w:szCs w:val="28"/>
      </w:rPr>
      <w:instrText>PAGE   \* MERGEFORMAT</w:instrText>
    </w:r>
    <w:r w:rsidR="008B3922">
      <w:rPr>
        <w:sz w:val="28"/>
        <w:szCs w:val="28"/>
      </w:rPr>
      <w:fldChar w:fldCharType="separate"/>
    </w:r>
    <w:r>
      <w:rPr>
        <w:sz w:val="28"/>
        <w:szCs w:val="28"/>
        <w:lang w:val="zh-CN"/>
      </w:rPr>
      <w:t>2</w:t>
    </w:r>
    <w:r w:rsidR="008B3922">
      <w:rPr>
        <w:sz w:val="28"/>
        <w:szCs w:val="28"/>
      </w:rPr>
      <w:fldChar w:fldCharType="end"/>
    </w:r>
    <w:r>
      <w:rPr>
        <w:rFonts w:hint="eastAsia"/>
        <w:sz w:val="28"/>
        <w:szCs w:val="28"/>
      </w:rPr>
      <w:t xml:space="preserve"> </w:t>
    </w:r>
    <w:r>
      <w:rPr>
        <w:rFonts w:hint="eastAsia"/>
        <w:sz w:val="28"/>
        <w:szCs w:val="28"/>
      </w:rPr>
      <w:t>—</w:t>
    </w:r>
  </w:p>
  <w:p w:rsidR="00990962" w:rsidRDefault="0099096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62" w:rsidRDefault="00806EEC">
    <w:pPr>
      <w:pStyle w:val="a6"/>
      <w:wordWrap w:val="0"/>
      <w:jc w:val="right"/>
      <w:rPr>
        <w:sz w:val="28"/>
        <w:szCs w:val="28"/>
      </w:rPr>
    </w:pPr>
    <w:r>
      <w:rPr>
        <w:rFonts w:hint="eastAsia"/>
        <w:sz w:val="28"/>
        <w:szCs w:val="28"/>
      </w:rPr>
      <w:t>—</w:t>
    </w:r>
    <w:r>
      <w:rPr>
        <w:rFonts w:hint="eastAsia"/>
        <w:sz w:val="28"/>
        <w:szCs w:val="28"/>
      </w:rPr>
      <w:t xml:space="preserve"> </w:t>
    </w:r>
    <w:r w:rsidR="008B3922">
      <w:rPr>
        <w:sz w:val="28"/>
        <w:szCs w:val="28"/>
      </w:rPr>
      <w:fldChar w:fldCharType="begin"/>
    </w:r>
    <w:r>
      <w:rPr>
        <w:sz w:val="28"/>
        <w:szCs w:val="28"/>
      </w:rPr>
      <w:instrText>PAGE   \* MERGEFORMAT</w:instrText>
    </w:r>
    <w:r w:rsidR="008B3922">
      <w:rPr>
        <w:sz w:val="28"/>
        <w:szCs w:val="28"/>
      </w:rPr>
      <w:fldChar w:fldCharType="separate"/>
    </w:r>
    <w:r w:rsidR="00832973" w:rsidRPr="00832973">
      <w:rPr>
        <w:noProof/>
        <w:sz w:val="28"/>
        <w:szCs w:val="28"/>
        <w:lang w:val="zh-CN"/>
      </w:rPr>
      <w:t>25</w:t>
    </w:r>
    <w:r w:rsidR="008B3922">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990962" w:rsidRDefault="0099096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A8" w:rsidRDefault="00854EA8" w:rsidP="00990962">
      <w:r>
        <w:separator/>
      </w:r>
    </w:p>
  </w:footnote>
  <w:footnote w:type="continuationSeparator" w:id="0">
    <w:p w:rsidR="00854EA8" w:rsidRDefault="00854EA8" w:rsidP="00990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F41"/>
    <w:multiLevelType w:val="multilevel"/>
    <w:tmpl w:val="11657F41"/>
    <w:lvl w:ilvl="0">
      <w:start w:val="1"/>
      <w:numFmt w:val="lowerLetter"/>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DB2"/>
    <w:rsid w:val="00006457"/>
    <w:rsid w:val="0001203C"/>
    <w:rsid w:val="00012CE7"/>
    <w:rsid w:val="00024BCB"/>
    <w:rsid w:val="0002549F"/>
    <w:rsid w:val="00026CB7"/>
    <w:rsid w:val="0004759E"/>
    <w:rsid w:val="00060FF3"/>
    <w:rsid w:val="00063C7C"/>
    <w:rsid w:val="000652CE"/>
    <w:rsid w:val="000661FD"/>
    <w:rsid w:val="00071875"/>
    <w:rsid w:val="00072A46"/>
    <w:rsid w:val="00074BE9"/>
    <w:rsid w:val="000809FD"/>
    <w:rsid w:val="00085F96"/>
    <w:rsid w:val="000944BA"/>
    <w:rsid w:val="00095B18"/>
    <w:rsid w:val="000B14C7"/>
    <w:rsid w:val="000C0072"/>
    <w:rsid w:val="000D70CE"/>
    <w:rsid w:val="000E2959"/>
    <w:rsid w:val="000E61E8"/>
    <w:rsid w:val="000F61E0"/>
    <w:rsid w:val="00103753"/>
    <w:rsid w:val="00122213"/>
    <w:rsid w:val="00124918"/>
    <w:rsid w:val="00146D29"/>
    <w:rsid w:val="00150C7E"/>
    <w:rsid w:val="00151031"/>
    <w:rsid w:val="001530B5"/>
    <w:rsid w:val="00167BE1"/>
    <w:rsid w:val="00171614"/>
    <w:rsid w:val="001746C3"/>
    <w:rsid w:val="00174B85"/>
    <w:rsid w:val="0017782E"/>
    <w:rsid w:val="00195410"/>
    <w:rsid w:val="0019613C"/>
    <w:rsid w:val="001977C8"/>
    <w:rsid w:val="001A2BAC"/>
    <w:rsid w:val="001A5A49"/>
    <w:rsid w:val="001B16AE"/>
    <w:rsid w:val="001B24C1"/>
    <w:rsid w:val="001C06EE"/>
    <w:rsid w:val="001D041C"/>
    <w:rsid w:val="001D0C4D"/>
    <w:rsid w:val="001D15A4"/>
    <w:rsid w:val="001D391F"/>
    <w:rsid w:val="001D7889"/>
    <w:rsid w:val="001E4CD6"/>
    <w:rsid w:val="001F34A2"/>
    <w:rsid w:val="001F59F1"/>
    <w:rsid w:val="00205EBF"/>
    <w:rsid w:val="00223730"/>
    <w:rsid w:val="0022575C"/>
    <w:rsid w:val="0023318F"/>
    <w:rsid w:val="00234B22"/>
    <w:rsid w:val="0024157D"/>
    <w:rsid w:val="00245954"/>
    <w:rsid w:val="00245AEB"/>
    <w:rsid w:val="00253B1C"/>
    <w:rsid w:val="002714EB"/>
    <w:rsid w:val="002840E6"/>
    <w:rsid w:val="002A0893"/>
    <w:rsid w:val="002B25F4"/>
    <w:rsid w:val="002B7AAC"/>
    <w:rsid w:val="002C3FAE"/>
    <w:rsid w:val="002C5167"/>
    <w:rsid w:val="002C6540"/>
    <w:rsid w:val="002D0A5F"/>
    <w:rsid w:val="002D3084"/>
    <w:rsid w:val="002E0CA1"/>
    <w:rsid w:val="002E1B61"/>
    <w:rsid w:val="002E78E3"/>
    <w:rsid w:val="002F25D0"/>
    <w:rsid w:val="002F2DD0"/>
    <w:rsid w:val="00306ADA"/>
    <w:rsid w:val="00313017"/>
    <w:rsid w:val="0031478F"/>
    <w:rsid w:val="003366CB"/>
    <w:rsid w:val="00342882"/>
    <w:rsid w:val="00342BBF"/>
    <w:rsid w:val="00362CC3"/>
    <w:rsid w:val="00362EC2"/>
    <w:rsid w:val="0037419E"/>
    <w:rsid w:val="003878A9"/>
    <w:rsid w:val="00394057"/>
    <w:rsid w:val="003A0D30"/>
    <w:rsid w:val="003A33A0"/>
    <w:rsid w:val="003B2F44"/>
    <w:rsid w:val="003B703B"/>
    <w:rsid w:val="003C1541"/>
    <w:rsid w:val="003C59F0"/>
    <w:rsid w:val="003C7C34"/>
    <w:rsid w:val="003D1D68"/>
    <w:rsid w:val="003D5B0F"/>
    <w:rsid w:val="003D7275"/>
    <w:rsid w:val="003E0E1E"/>
    <w:rsid w:val="003E20A4"/>
    <w:rsid w:val="003E7B44"/>
    <w:rsid w:val="003F6031"/>
    <w:rsid w:val="003F7787"/>
    <w:rsid w:val="003F77A3"/>
    <w:rsid w:val="00405AE4"/>
    <w:rsid w:val="0041132B"/>
    <w:rsid w:val="00424301"/>
    <w:rsid w:val="004245AB"/>
    <w:rsid w:val="00425783"/>
    <w:rsid w:val="004466E5"/>
    <w:rsid w:val="00453E17"/>
    <w:rsid w:val="00461348"/>
    <w:rsid w:val="004624DC"/>
    <w:rsid w:val="00462AA7"/>
    <w:rsid w:val="00465F25"/>
    <w:rsid w:val="00472A39"/>
    <w:rsid w:val="00480E5A"/>
    <w:rsid w:val="00482363"/>
    <w:rsid w:val="00486BA2"/>
    <w:rsid w:val="00486FAD"/>
    <w:rsid w:val="00493BDD"/>
    <w:rsid w:val="004B6ACD"/>
    <w:rsid w:val="004C1DD9"/>
    <w:rsid w:val="004C2E7D"/>
    <w:rsid w:val="004C5BBC"/>
    <w:rsid w:val="004C7806"/>
    <w:rsid w:val="004D2213"/>
    <w:rsid w:val="004E102D"/>
    <w:rsid w:val="004E277A"/>
    <w:rsid w:val="004E6F8D"/>
    <w:rsid w:val="004F25F2"/>
    <w:rsid w:val="004F7A6E"/>
    <w:rsid w:val="004F7F3E"/>
    <w:rsid w:val="00510D95"/>
    <w:rsid w:val="005155E3"/>
    <w:rsid w:val="0051696F"/>
    <w:rsid w:val="00517C16"/>
    <w:rsid w:val="00524881"/>
    <w:rsid w:val="0052511C"/>
    <w:rsid w:val="00525506"/>
    <w:rsid w:val="00526F16"/>
    <w:rsid w:val="00531AB4"/>
    <w:rsid w:val="00531B1F"/>
    <w:rsid w:val="0053418B"/>
    <w:rsid w:val="00537714"/>
    <w:rsid w:val="00540574"/>
    <w:rsid w:val="00545FD1"/>
    <w:rsid w:val="00565098"/>
    <w:rsid w:val="00584A2E"/>
    <w:rsid w:val="00594D00"/>
    <w:rsid w:val="00597C50"/>
    <w:rsid w:val="005A137F"/>
    <w:rsid w:val="005A1439"/>
    <w:rsid w:val="005B01F4"/>
    <w:rsid w:val="005B43A2"/>
    <w:rsid w:val="005C01BF"/>
    <w:rsid w:val="005C661C"/>
    <w:rsid w:val="005C710C"/>
    <w:rsid w:val="005C71EB"/>
    <w:rsid w:val="005D6193"/>
    <w:rsid w:val="005E259C"/>
    <w:rsid w:val="005E2C6C"/>
    <w:rsid w:val="005E373B"/>
    <w:rsid w:val="005F2527"/>
    <w:rsid w:val="005F28A5"/>
    <w:rsid w:val="005F6D46"/>
    <w:rsid w:val="0060069A"/>
    <w:rsid w:val="006144FB"/>
    <w:rsid w:val="006213F8"/>
    <w:rsid w:val="00624300"/>
    <w:rsid w:val="00624692"/>
    <w:rsid w:val="006253DA"/>
    <w:rsid w:val="006374A6"/>
    <w:rsid w:val="0064015C"/>
    <w:rsid w:val="00640F61"/>
    <w:rsid w:val="0064297A"/>
    <w:rsid w:val="0065001A"/>
    <w:rsid w:val="00654A53"/>
    <w:rsid w:val="006640B8"/>
    <w:rsid w:val="00671050"/>
    <w:rsid w:val="006754A5"/>
    <w:rsid w:val="0068042C"/>
    <w:rsid w:val="006A1B7F"/>
    <w:rsid w:val="006B71D0"/>
    <w:rsid w:val="006C61A0"/>
    <w:rsid w:val="006C6290"/>
    <w:rsid w:val="006C6F3A"/>
    <w:rsid w:val="006D2C07"/>
    <w:rsid w:val="006D7ECA"/>
    <w:rsid w:val="006E0EC0"/>
    <w:rsid w:val="006E0F8E"/>
    <w:rsid w:val="006E0FDA"/>
    <w:rsid w:val="006F316B"/>
    <w:rsid w:val="006F4C38"/>
    <w:rsid w:val="006F7B5C"/>
    <w:rsid w:val="00701F61"/>
    <w:rsid w:val="00707AB9"/>
    <w:rsid w:val="00712058"/>
    <w:rsid w:val="00713BDC"/>
    <w:rsid w:val="0071496D"/>
    <w:rsid w:val="00716B31"/>
    <w:rsid w:val="00731A46"/>
    <w:rsid w:val="00732323"/>
    <w:rsid w:val="00736DB5"/>
    <w:rsid w:val="00740BF8"/>
    <w:rsid w:val="00754B64"/>
    <w:rsid w:val="0076342C"/>
    <w:rsid w:val="0076344F"/>
    <w:rsid w:val="007720A3"/>
    <w:rsid w:val="00772680"/>
    <w:rsid w:val="00783EA7"/>
    <w:rsid w:val="00787742"/>
    <w:rsid w:val="00794A7F"/>
    <w:rsid w:val="007A03D1"/>
    <w:rsid w:val="007A4FDC"/>
    <w:rsid w:val="007A769A"/>
    <w:rsid w:val="007B06D1"/>
    <w:rsid w:val="007B0C29"/>
    <w:rsid w:val="007B4D20"/>
    <w:rsid w:val="007C0022"/>
    <w:rsid w:val="007C3FBC"/>
    <w:rsid w:val="007C750B"/>
    <w:rsid w:val="007C7D40"/>
    <w:rsid w:val="007D395D"/>
    <w:rsid w:val="007D4CAD"/>
    <w:rsid w:val="007E2B9A"/>
    <w:rsid w:val="00804BD5"/>
    <w:rsid w:val="00806EEC"/>
    <w:rsid w:val="00807B02"/>
    <w:rsid w:val="00810A82"/>
    <w:rsid w:val="00815DD5"/>
    <w:rsid w:val="0082344F"/>
    <w:rsid w:val="00832973"/>
    <w:rsid w:val="008404B4"/>
    <w:rsid w:val="0084160E"/>
    <w:rsid w:val="00850D51"/>
    <w:rsid w:val="008548D0"/>
    <w:rsid w:val="00854EA8"/>
    <w:rsid w:val="00855607"/>
    <w:rsid w:val="00865CE4"/>
    <w:rsid w:val="008739B8"/>
    <w:rsid w:val="008914F3"/>
    <w:rsid w:val="00894778"/>
    <w:rsid w:val="008A20FF"/>
    <w:rsid w:val="008A26DD"/>
    <w:rsid w:val="008B3697"/>
    <w:rsid w:val="008B3922"/>
    <w:rsid w:val="008C3806"/>
    <w:rsid w:val="008D012B"/>
    <w:rsid w:val="008D2ACD"/>
    <w:rsid w:val="008D416A"/>
    <w:rsid w:val="008E1095"/>
    <w:rsid w:val="008E166D"/>
    <w:rsid w:val="008E6A65"/>
    <w:rsid w:val="008F5ECE"/>
    <w:rsid w:val="00900024"/>
    <w:rsid w:val="00915A2B"/>
    <w:rsid w:val="00923C93"/>
    <w:rsid w:val="009242BF"/>
    <w:rsid w:val="009450A0"/>
    <w:rsid w:val="00947FE3"/>
    <w:rsid w:val="0096158E"/>
    <w:rsid w:val="0096378D"/>
    <w:rsid w:val="00964C80"/>
    <w:rsid w:val="009772E8"/>
    <w:rsid w:val="00977744"/>
    <w:rsid w:val="009814B0"/>
    <w:rsid w:val="00990962"/>
    <w:rsid w:val="009936CB"/>
    <w:rsid w:val="00994390"/>
    <w:rsid w:val="00994728"/>
    <w:rsid w:val="009C2C11"/>
    <w:rsid w:val="009C4016"/>
    <w:rsid w:val="009E0947"/>
    <w:rsid w:val="009E3CEF"/>
    <w:rsid w:val="009F41EE"/>
    <w:rsid w:val="00A01EFD"/>
    <w:rsid w:val="00A22CC3"/>
    <w:rsid w:val="00A25CF5"/>
    <w:rsid w:val="00A37DB2"/>
    <w:rsid w:val="00A524FA"/>
    <w:rsid w:val="00A63647"/>
    <w:rsid w:val="00A85EB6"/>
    <w:rsid w:val="00A90268"/>
    <w:rsid w:val="00A951BB"/>
    <w:rsid w:val="00A96972"/>
    <w:rsid w:val="00AA0BD2"/>
    <w:rsid w:val="00AA4676"/>
    <w:rsid w:val="00AB03DB"/>
    <w:rsid w:val="00AB7D8B"/>
    <w:rsid w:val="00AB7ED8"/>
    <w:rsid w:val="00AC63D3"/>
    <w:rsid w:val="00AD12C5"/>
    <w:rsid w:val="00AD1826"/>
    <w:rsid w:val="00AD2367"/>
    <w:rsid w:val="00AD27F4"/>
    <w:rsid w:val="00AD41FA"/>
    <w:rsid w:val="00AE40D1"/>
    <w:rsid w:val="00AE758D"/>
    <w:rsid w:val="00AF46ED"/>
    <w:rsid w:val="00B059D1"/>
    <w:rsid w:val="00B06D04"/>
    <w:rsid w:val="00B16722"/>
    <w:rsid w:val="00B217EA"/>
    <w:rsid w:val="00B268E8"/>
    <w:rsid w:val="00B31C11"/>
    <w:rsid w:val="00B42E68"/>
    <w:rsid w:val="00B448D6"/>
    <w:rsid w:val="00B44CF0"/>
    <w:rsid w:val="00B50809"/>
    <w:rsid w:val="00B50B2B"/>
    <w:rsid w:val="00B61363"/>
    <w:rsid w:val="00B85279"/>
    <w:rsid w:val="00B95B1F"/>
    <w:rsid w:val="00BA3A2B"/>
    <w:rsid w:val="00BA64F6"/>
    <w:rsid w:val="00BB1CE6"/>
    <w:rsid w:val="00BC4E33"/>
    <w:rsid w:val="00BD002C"/>
    <w:rsid w:val="00BD1CFA"/>
    <w:rsid w:val="00BE1FA2"/>
    <w:rsid w:val="00BF17D7"/>
    <w:rsid w:val="00C01CC5"/>
    <w:rsid w:val="00C050F8"/>
    <w:rsid w:val="00C12D2E"/>
    <w:rsid w:val="00C254AC"/>
    <w:rsid w:val="00C27644"/>
    <w:rsid w:val="00C3150B"/>
    <w:rsid w:val="00C31674"/>
    <w:rsid w:val="00C47E59"/>
    <w:rsid w:val="00C5673E"/>
    <w:rsid w:val="00C610E8"/>
    <w:rsid w:val="00C7152C"/>
    <w:rsid w:val="00C75ED9"/>
    <w:rsid w:val="00C9308F"/>
    <w:rsid w:val="00C95E30"/>
    <w:rsid w:val="00CA048F"/>
    <w:rsid w:val="00CA26CF"/>
    <w:rsid w:val="00CA62F0"/>
    <w:rsid w:val="00CB07B9"/>
    <w:rsid w:val="00CB28F5"/>
    <w:rsid w:val="00CC63B0"/>
    <w:rsid w:val="00CD6575"/>
    <w:rsid w:val="00CE31A9"/>
    <w:rsid w:val="00D0419B"/>
    <w:rsid w:val="00D252E8"/>
    <w:rsid w:val="00D2569F"/>
    <w:rsid w:val="00D426F3"/>
    <w:rsid w:val="00D427D4"/>
    <w:rsid w:val="00D51215"/>
    <w:rsid w:val="00D5151C"/>
    <w:rsid w:val="00D627F9"/>
    <w:rsid w:val="00D6347B"/>
    <w:rsid w:val="00D653BF"/>
    <w:rsid w:val="00D65403"/>
    <w:rsid w:val="00D662E1"/>
    <w:rsid w:val="00D76225"/>
    <w:rsid w:val="00D82702"/>
    <w:rsid w:val="00D8294B"/>
    <w:rsid w:val="00D82E49"/>
    <w:rsid w:val="00D90301"/>
    <w:rsid w:val="00D94726"/>
    <w:rsid w:val="00DA2C3B"/>
    <w:rsid w:val="00DC1033"/>
    <w:rsid w:val="00DC6CB4"/>
    <w:rsid w:val="00DD3317"/>
    <w:rsid w:val="00DD448A"/>
    <w:rsid w:val="00DD6589"/>
    <w:rsid w:val="00DF08E8"/>
    <w:rsid w:val="00E05EA7"/>
    <w:rsid w:val="00E12873"/>
    <w:rsid w:val="00E26AE0"/>
    <w:rsid w:val="00E27508"/>
    <w:rsid w:val="00E31EAF"/>
    <w:rsid w:val="00E422F5"/>
    <w:rsid w:val="00E47567"/>
    <w:rsid w:val="00E54ECC"/>
    <w:rsid w:val="00E67E1E"/>
    <w:rsid w:val="00E72FFA"/>
    <w:rsid w:val="00E732EB"/>
    <w:rsid w:val="00E76E25"/>
    <w:rsid w:val="00E8388B"/>
    <w:rsid w:val="00EB005F"/>
    <w:rsid w:val="00EB6E94"/>
    <w:rsid w:val="00EB778F"/>
    <w:rsid w:val="00EC661D"/>
    <w:rsid w:val="00EC6EC8"/>
    <w:rsid w:val="00EC77DB"/>
    <w:rsid w:val="00ED2013"/>
    <w:rsid w:val="00EE4321"/>
    <w:rsid w:val="00EE78BB"/>
    <w:rsid w:val="00EF17AC"/>
    <w:rsid w:val="00EF3AE1"/>
    <w:rsid w:val="00F13720"/>
    <w:rsid w:val="00F26870"/>
    <w:rsid w:val="00F36E24"/>
    <w:rsid w:val="00F40726"/>
    <w:rsid w:val="00F44AA3"/>
    <w:rsid w:val="00F5498F"/>
    <w:rsid w:val="00F61622"/>
    <w:rsid w:val="00F62D5C"/>
    <w:rsid w:val="00F731E1"/>
    <w:rsid w:val="00F74C7E"/>
    <w:rsid w:val="00FA3D24"/>
    <w:rsid w:val="00FC1467"/>
    <w:rsid w:val="00FC7E46"/>
    <w:rsid w:val="00FD0A1D"/>
    <w:rsid w:val="00FE3448"/>
    <w:rsid w:val="00FE7003"/>
    <w:rsid w:val="00FE7E76"/>
    <w:rsid w:val="00FF5004"/>
    <w:rsid w:val="1C805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6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90962"/>
    <w:rPr>
      <w:rFonts w:ascii="Arial" w:eastAsia="黑体" w:hAnsi="Arial" w:cs="Arial"/>
      <w:sz w:val="20"/>
      <w:szCs w:val="20"/>
    </w:rPr>
  </w:style>
  <w:style w:type="paragraph" w:styleId="a4">
    <w:name w:val="annotation text"/>
    <w:basedOn w:val="a"/>
    <w:link w:val="Char"/>
    <w:semiHidden/>
    <w:rsid w:val="00990962"/>
    <w:pPr>
      <w:jc w:val="left"/>
    </w:pPr>
  </w:style>
  <w:style w:type="paragraph" w:styleId="a5">
    <w:name w:val="Balloon Text"/>
    <w:basedOn w:val="a"/>
    <w:link w:val="Char0"/>
    <w:uiPriority w:val="99"/>
    <w:unhideWhenUsed/>
    <w:qFormat/>
    <w:rsid w:val="00990962"/>
    <w:rPr>
      <w:sz w:val="18"/>
      <w:szCs w:val="18"/>
    </w:rPr>
  </w:style>
  <w:style w:type="paragraph" w:styleId="a6">
    <w:name w:val="footer"/>
    <w:basedOn w:val="a"/>
    <w:link w:val="Char1"/>
    <w:uiPriority w:val="99"/>
    <w:unhideWhenUsed/>
    <w:rsid w:val="00990962"/>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unhideWhenUsed/>
    <w:qFormat/>
    <w:rsid w:val="0099096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7"/>
    <w:uiPriority w:val="99"/>
    <w:qFormat/>
    <w:rsid w:val="00990962"/>
    <w:rPr>
      <w:sz w:val="18"/>
      <w:szCs w:val="18"/>
    </w:rPr>
  </w:style>
  <w:style w:type="character" w:customStyle="1" w:styleId="Char1">
    <w:name w:val="页脚 Char"/>
    <w:link w:val="a6"/>
    <w:uiPriority w:val="99"/>
    <w:rsid w:val="00990962"/>
    <w:rPr>
      <w:sz w:val="18"/>
      <w:szCs w:val="18"/>
    </w:rPr>
  </w:style>
  <w:style w:type="paragraph" w:customStyle="1" w:styleId="1">
    <w:name w:val="列出段落1"/>
    <w:basedOn w:val="a"/>
    <w:uiPriority w:val="99"/>
    <w:qFormat/>
    <w:rsid w:val="00990962"/>
    <w:pPr>
      <w:widowControl/>
      <w:ind w:firstLineChars="200" w:firstLine="420"/>
      <w:jc w:val="left"/>
    </w:pPr>
    <w:rPr>
      <w:rFonts w:ascii="宋体" w:hAnsi="宋体" w:cs="宋体"/>
      <w:kern w:val="0"/>
      <w:sz w:val="24"/>
    </w:rPr>
  </w:style>
  <w:style w:type="paragraph" w:customStyle="1" w:styleId="a8">
    <w:name w:val="王奕改内文"/>
    <w:basedOn w:val="a"/>
    <w:link w:val="Char3"/>
    <w:uiPriority w:val="99"/>
    <w:rsid w:val="00990962"/>
    <w:pPr>
      <w:widowControl/>
      <w:spacing w:line="360" w:lineRule="auto"/>
      <w:ind w:firstLineChars="200" w:firstLine="200"/>
    </w:pPr>
    <w:rPr>
      <w:rFonts w:ascii="宋体" w:hAnsi="宋体"/>
      <w:color w:val="000000"/>
      <w:spacing w:val="-4"/>
      <w:kern w:val="0"/>
      <w:sz w:val="24"/>
    </w:rPr>
  </w:style>
  <w:style w:type="character" w:customStyle="1" w:styleId="Char3">
    <w:name w:val="王奕改内文 Char"/>
    <w:link w:val="a8"/>
    <w:uiPriority w:val="99"/>
    <w:qFormat/>
    <w:locked/>
    <w:rsid w:val="00990962"/>
    <w:rPr>
      <w:rFonts w:ascii="宋体" w:eastAsia="宋体" w:hAnsi="宋体" w:cs="宋体"/>
      <w:color w:val="000000"/>
      <w:spacing w:val="-4"/>
      <w:kern w:val="0"/>
      <w:sz w:val="24"/>
      <w:szCs w:val="24"/>
    </w:rPr>
  </w:style>
  <w:style w:type="character" w:customStyle="1" w:styleId="Char">
    <w:name w:val="批注文字 Char"/>
    <w:link w:val="a4"/>
    <w:semiHidden/>
    <w:qFormat/>
    <w:rsid w:val="00990962"/>
    <w:rPr>
      <w:rFonts w:ascii="Times New Roman" w:hAnsi="Times New Roman"/>
      <w:kern w:val="2"/>
      <w:sz w:val="21"/>
      <w:szCs w:val="24"/>
    </w:rPr>
  </w:style>
  <w:style w:type="character" w:customStyle="1" w:styleId="Char0">
    <w:name w:val="批注框文本 Char"/>
    <w:link w:val="a5"/>
    <w:uiPriority w:val="99"/>
    <w:semiHidden/>
    <w:rsid w:val="00990962"/>
    <w:rPr>
      <w:rFonts w:ascii="Times New Roman" w:hAnsi="Times New Roman"/>
      <w:kern w:val="2"/>
      <w:sz w:val="18"/>
      <w:szCs w:val="18"/>
    </w:rPr>
  </w:style>
  <w:style w:type="character" w:customStyle="1" w:styleId="10">
    <w:name w:val="占位符文本1"/>
    <w:basedOn w:val="a0"/>
    <w:uiPriority w:val="99"/>
    <w:semiHidden/>
    <w:qFormat/>
    <w:rsid w:val="00990962"/>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0"/>
    <customShpInfo spid="_x0000_s1042"/>
    <customShpInfo spid="_x0000_s104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AD72B-11F2-4236-9AF9-B9F975A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25</Pages>
  <Words>2086</Words>
  <Characters>11893</Characters>
  <Application>Microsoft Office Word</Application>
  <DocSecurity>0</DocSecurity>
  <Lines>99</Lines>
  <Paragraphs>27</Paragraphs>
  <ScaleCrop>false</ScaleCrop>
  <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ysl</cp:lastModifiedBy>
  <cp:revision>47</cp:revision>
  <cp:lastPrinted>2016-08-29T02:18:00Z</cp:lastPrinted>
  <dcterms:created xsi:type="dcterms:W3CDTF">2016-08-25T06:30:00Z</dcterms:created>
  <dcterms:modified xsi:type="dcterms:W3CDTF">2016-10-09T05:45:00Z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