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after="1"/>
        <w:rPr>
          <w:rFonts w:ascii="Times New Roman"/>
          <w:sz w:val="14"/>
        </w:rPr>
      </w:pPr>
    </w:p>
    <w:p>
      <w:pPr>
        <w:pStyle w:val="BodyText"/>
        <w:ind w:left="3248"/>
        <w:rPr>
          <w:rFonts w:ascii="Times New Roman"/>
          <w:sz w:val="20"/>
        </w:rPr>
      </w:pPr>
      <w:r>
        <w:rPr>
          <w:rFonts w:ascii="Times New Roman"/>
          <w:sz w:val="20"/>
        </w:rPr>
        <w:drawing>
          <wp:inline distT="0" distB="0" distL="0" distR="0">
            <wp:extent cx="1897446" cy="58674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897446" cy="58674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p>
      <w:pPr>
        <w:spacing w:line="259" w:lineRule="auto" w:before="3"/>
        <w:ind w:left="464" w:right="425" w:firstLine="0"/>
        <w:jc w:val="center"/>
        <w:rPr>
          <w:b/>
          <w:sz w:val="48"/>
        </w:rPr>
      </w:pPr>
      <w:r>
        <w:rPr>
          <w:b/>
          <w:spacing w:val="11"/>
          <w:sz w:val="48"/>
        </w:rPr>
        <w:t>World Health </w:t>
      </w:r>
      <w:r>
        <w:rPr>
          <w:b/>
          <w:spacing w:val="12"/>
          <w:sz w:val="48"/>
        </w:rPr>
        <w:t>Organization </w:t>
      </w:r>
      <w:r>
        <w:rPr>
          <w:b/>
          <w:spacing w:val="11"/>
          <w:sz w:val="48"/>
        </w:rPr>
        <w:t>Model </w:t>
      </w:r>
      <w:r>
        <w:rPr>
          <w:b/>
          <w:spacing w:val="10"/>
          <w:sz w:val="48"/>
        </w:rPr>
        <w:t>List </w:t>
      </w:r>
      <w:r>
        <w:rPr>
          <w:b/>
          <w:spacing w:val="7"/>
          <w:sz w:val="48"/>
        </w:rPr>
        <w:t>of </w:t>
      </w:r>
      <w:r>
        <w:rPr>
          <w:b/>
          <w:spacing w:val="12"/>
          <w:sz w:val="48"/>
        </w:rPr>
        <w:t>Essential </w:t>
      </w:r>
      <w:r>
        <w:rPr>
          <w:b/>
          <w:spacing w:val="6"/>
          <w:sz w:val="48"/>
        </w:rPr>
        <w:t>In </w:t>
      </w:r>
      <w:r>
        <w:rPr>
          <w:b/>
          <w:spacing w:val="11"/>
          <w:sz w:val="48"/>
        </w:rPr>
        <w:t>Vitro</w:t>
      </w:r>
      <w:r>
        <w:rPr>
          <w:b/>
          <w:spacing w:val="71"/>
          <w:sz w:val="48"/>
        </w:rPr>
        <w:t> </w:t>
      </w:r>
      <w:r>
        <w:rPr>
          <w:b/>
          <w:spacing w:val="12"/>
          <w:sz w:val="48"/>
        </w:rPr>
        <w:t>Diagnostics</w:t>
      </w:r>
    </w:p>
    <w:p>
      <w:pPr>
        <w:spacing w:before="1"/>
        <w:ind w:left="461" w:right="425" w:firstLine="0"/>
        <w:jc w:val="center"/>
        <w:rPr>
          <w:b/>
          <w:sz w:val="36"/>
        </w:rPr>
      </w:pPr>
      <w:r>
        <w:rPr>
          <w:b/>
          <w:sz w:val="36"/>
        </w:rPr>
        <w:t>First edition (2018)</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3"/>
        <w:rPr>
          <w:b/>
          <w:sz w:val="41"/>
        </w:rPr>
      </w:pPr>
    </w:p>
    <w:p>
      <w:pPr>
        <w:pStyle w:val="Heading1"/>
        <w:spacing w:before="1"/>
        <w:ind w:left="0" w:right="158"/>
        <w:jc w:val="right"/>
      </w:pPr>
      <w:r>
        <w:rPr/>
        <w:t>16 May 2018</w:t>
      </w:r>
    </w:p>
    <w:p>
      <w:pPr>
        <w:spacing w:after="0"/>
        <w:jc w:val="right"/>
        <w:sectPr>
          <w:type w:val="continuous"/>
          <w:pgSz w:w="11910" w:h="16840"/>
          <w:pgMar w:top="1580" w:bottom="280" w:left="1220" w:right="1280"/>
        </w:sectPr>
      </w:pPr>
    </w:p>
    <w:p>
      <w:pPr>
        <w:pStyle w:val="BodyText"/>
        <w:spacing w:before="2"/>
        <w:rPr>
          <w:b/>
          <w:sz w:val="10"/>
        </w:rPr>
      </w:pPr>
    </w:p>
    <w:p>
      <w:pPr>
        <w:spacing w:before="28"/>
        <w:ind w:left="220" w:right="0" w:firstLine="0"/>
        <w:jc w:val="left"/>
        <w:rPr>
          <w:b/>
          <w:sz w:val="36"/>
        </w:rPr>
      </w:pPr>
      <w:r>
        <w:rPr>
          <w:b/>
          <w:sz w:val="36"/>
        </w:rPr>
        <w:t>Table of contents</w:t>
      </w:r>
    </w:p>
    <w:p>
      <w:pPr>
        <w:pStyle w:val="BodyText"/>
        <w:rPr>
          <w:b/>
          <w:sz w:val="36"/>
        </w:rPr>
      </w:pPr>
    </w:p>
    <w:p>
      <w:pPr>
        <w:pStyle w:val="BodyText"/>
        <w:rPr>
          <w:b/>
          <w:sz w:val="36"/>
        </w:rPr>
      </w:pPr>
    </w:p>
    <w:p>
      <w:pPr>
        <w:pStyle w:val="BodyText"/>
        <w:spacing w:before="8"/>
        <w:rPr>
          <w:b/>
          <w:sz w:val="32"/>
        </w:rPr>
      </w:pPr>
    </w:p>
    <w:sdt>
      <w:sdtPr>
        <w:docPartObj>
          <w:docPartGallery w:val="Table of Contents"/>
          <w:docPartUnique/>
        </w:docPartObj>
      </w:sdtPr>
      <w:sdtEndPr/>
      <w:sdtContent>
        <w:p>
          <w:pPr>
            <w:pStyle w:val="TOC1"/>
            <w:tabs>
              <w:tab w:pos="9240" w:val="right" w:leader="dot"/>
            </w:tabs>
          </w:pPr>
          <w:hyperlink w:history="true" w:anchor="_bookmark0">
            <w:r>
              <w:rPr/>
              <w:t>Acronyms</w:t>
              <w:tab/>
              <w:t>2</w:t>
            </w:r>
          </w:hyperlink>
        </w:p>
        <w:p>
          <w:pPr>
            <w:pStyle w:val="TOC1"/>
            <w:tabs>
              <w:tab w:pos="9240" w:val="right" w:leader="dot"/>
            </w:tabs>
            <w:spacing w:before="123"/>
          </w:pPr>
          <w:hyperlink w:history="true" w:anchor="_bookmark1">
            <w:r>
              <w:rPr/>
              <w:t>Preface</w:t>
              <w:tab/>
              <w:t>3</w:t>
            </w:r>
          </w:hyperlink>
        </w:p>
        <w:p>
          <w:pPr>
            <w:pStyle w:val="TOC1"/>
            <w:tabs>
              <w:tab w:pos="9241" w:val="right" w:leader="dot"/>
            </w:tabs>
            <w:spacing w:before="120"/>
          </w:pPr>
          <w:hyperlink w:history="true" w:anchor="_bookmark2">
            <w:r>
              <w:rPr/>
              <w:t>List of Essential In Vitro</w:t>
            </w:r>
            <w:r>
              <w:rPr>
                <w:spacing w:val="-8"/>
              </w:rPr>
              <w:t> </w:t>
            </w:r>
            <w:r>
              <w:rPr/>
              <w:t>Diagnostics</w:t>
            </w:r>
            <w:r>
              <w:rPr>
                <w:spacing w:val="-2"/>
              </w:rPr>
              <w:t> </w:t>
            </w:r>
            <w:r>
              <w:rPr/>
              <w:t>(EDL)</w:t>
              <w:tab/>
              <w:t>10</w:t>
            </w:r>
          </w:hyperlink>
        </w:p>
        <w:p>
          <w:pPr>
            <w:pStyle w:val="TOC1"/>
            <w:numPr>
              <w:ilvl w:val="0"/>
              <w:numId w:val="1"/>
            </w:numPr>
            <w:tabs>
              <w:tab w:pos="552" w:val="left" w:leader="none"/>
              <w:tab w:pos="9241" w:val="right" w:leader="dot"/>
            </w:tabs>
            <w:spacing w:line="240" w:lineRule="auto" w:before="121" w:after="0"/>
            <w:ind w:left="551" w:right="0" w:hanging="110"/>
            <w:jc w:val="left"/>
          </w:pPr>
          <w:hyperlink w:history="true" w:anchor="_bookmark3">
            <w:r>
              <w:rPr/>
              <w:t>List of Essential In Vitro Diagnostics (EDL): For primary</w:t>
            </w:r>
            <w:r>
              <w:rPr>
                <w:spacing w:val="-14"/>
              </w:rPr>
              <w:t> </w:t>
            </w:r>
            <w:r>
              <w:rPr/>
              <w:t>health</w:t>
            </w:r>
            <w:r>
              <w:rPr>
                <w:spacing w:val="-4"/>
              </w:rPr>
              <w:t> </w:t>
            </w:r>
            <w:r>
              <w:rPr/>
              <w:t>care</w:t>
              <w:tab/>
              <w:t>10</w:t>
            </w:r>
          </w:hyperlink>
        </w:p>
        <w:p>
          <w:pPr>
            <w:pStyle w:val="TOC2"/>
            <w:numPr>
              <w:ilvl w:val="1"/>
              <w:numId w:val="1"/>
            </w:numPr>
            <w:tabs>
              <w:tab w:pos="936" w:val="left" w:leader="none"/>
              <w:tab w:pos="9241" w:val="right" w:leader="dot"/>
            </w:tabs>
            <w:spacing w:line="240" w:lineRule="auto" w:before="122" w:after="0"/>
            <w:ind w:left="935" w:right="0" w:hanging="276"/>
            <w:jc w:val="left"/>
          </w:pPr>
          <w:hyperlink w:history="true" w:anchor="_bookmark4">
            <w:r>
              <w:rPr/>
              <w:t>General IVDs for primary</w:t>
            </w:r>
            <w:r>
              <w:rPr>
                <w:spacing w:val="-5"/>
              </w:rPr>
              <w:t> </w:t>
            </w:r>
            <w:r>
              <w:rPr/>
              <w:t>health</w:t>
            </w:r>
            <w:r>
              <w:rPr>
                <w:spacing w:val="-3"/>
              </w:rPr>
              <w:t> </w:t>
            </w:r>
            <w:r>
              <w:rPr/>
              <w:t>care</w:t>
              <w:tab/>
              <w:t>10</w:t>
            </w:r>
          </w:hyperlink>
        </w:p>
        <w:p>
          <w:pPr>
            <w:pStyle w:val="TOC2"/>
            <w:numPr>
              <w:ilvl w:val="1"/>
              <w:numId w:val="1"/>
            </w:numPr>
            <w:tabs>
              <w:tab w:pos="947" w:val="left" w:leader="none"/>
              <w:tab w:pos="9241" w:val="right" w:leader="dot"/>
            </w:tabs>
            <w:spacing w:line="240" w:lineRule="auto" w:before="121" w:after="0"/>
            <w:ind w:left="946" w:right="0" w:hanging="287"/>
            <w:jc w:val="left"/>
          </w:pPr>
          <w:hyperlink w:history="true" w:anchor="_bookmark5">
            <w:r>
              <w:rPr/>
              <w:t>Disease-specific IVDs for primary</w:t>
            </w:r>
            <w:r>
              <w:rPr>
                <w:spacing w:val="-3"/>
              </w:rPr>
              <w:t> </w:t>
            </w:r>
            <w:r>
              <w:rPr/>
              <w:t>health</w:t>
            </w:r>
            <w:r>
              <w:rPr>
                <w:spacing w:val="-3"/>
              </w:rPr>
              <w:t> </w:t>
            </w:r>
            <w:r>
              <w:rPr/>
              <w:t>care</w:t>
              <w:tab/>
              <w:t>12</w:t>
            </w:r>
          </w:hyperlink>
        </w:p>
        <w:p>
          <w:pPr>
            <w:pStyle w:val="TOC1"/>
            <w:numPr>
              <w:ilvl w:val="0"/>
              <w:numId w:val="1"/>
            </w:numPr>
            <w:tabs>
              <w:tab w:pos="609" w:val="left" w:leader="none"/>
            </w:tabs>
            <w:spacing w:line="240" w:lineRule="auto" w:before="122" w:after="0"/>
            <w:ind w:left="608" w:right="0" w:hanging="167"/>
            <w:jc w:val="left"/>
          </w:pPr>
          <w:hyperlink w:history="true" w:anchor="_bookmark6">
            <w:r>
              <w:rPr/>
              <w:t>List of Essential In Vitro Diagnostics (EDL): For health care facilities with clinical laboratories</w:t>
            </w:r>
            <w:r>
              <w:rPr>
                <w:spacing w:val="-27"/>
              </w:rPr>
              <w:t> </w:t>
            </w:r>
            <w:r>
              <w:rPr/>
              <w:t>16</w:t>
            </w:r>
          </w:hyperlink>
        </w:p>
        <w:p>
          <w:pPr>
            <w:pStyle w:val="TOC2"/>
            <w:numPr>
              <w:ilvl w:val="1"/>
              <w:numId w:val="1"/>
            </w:numPr>
            <w:tabs>
              <w:tab w:pos="995" w:val="left" w:leader="none"/>
              <w:tab w:pos="9241" w:val="right" w:leader="dot"/>
            </w:tabs>
            <w:spacing w:line="240" w:lineRule="auto" w:before="120" w:after="0"/>
            <w:ind w:left="994" w:right="0" w:hanging="335"/>
            <w:jc w:val="left"/>
          </w:pPr>
          <w:hyperlink w:history="true" w:anchor="_bookmark7">
            <w:r>
              <w:rPr/>
              <w:t>General IVDs for health care facilities with</w:t>
            </w:r>
            <w:r>
              <w:rPr>
                <w:spacing w:val="-13"/>
              </w:rPr>
              <w:t> </w:t>
            </w:r>
            <w:r>
              <w:rPr/>
              <w:t>clinical laboratories</w:t>
              <w:tab/>
              <w:t>16</w:t>
            </w:r>
          </w:hyperlink>
        </w:p>
        <w:p>
          <w:pPr>
            <w:pStyle w:val="TOC2"/>
            <w:numPr>
              <w:ilvl w:val="1"/>
              <w:numId w:val="1"/>
            </w:numPr>
            <w:tabs>
              <w:tab w:pos="1005" w:val="left" w:leader="none"/>
              <w:tab w:pos="9241" w:val="right" w:leader="dot"/>
            </w:tabs>
            <w:spacing w:line="240" w:lineRule="auto" w:before="123" w:after="0"/>
            <w:ind w:left="1004" w:right="0" w:hanging="345"/>
            <w:jc w:val="left"/>
          </w:pPr>
          <w:hyperlink w:history="true" w:anchor="_bookmark8">
            <w:r>
              <w:rPr/>
              <w:t>Disease-specific IVDs for health care facilities with</w:t>
            </w:r>
            <w:r>
              <w:rPr>
                <w:spacing w:val="-16"/>
              </w:rPr>
              <w:t> </w:t>
            </w:r>
            <w:r>
              <w:rPr/>
              <w:t>clinical</w:t>
            </w:r>
            <w:r>
              <w:rPr>
                <w:spacing w:val="-3"/>
              </w:rPr>
              <w:t> </w:t>
            </w:r>
            <w:r>
              <w:rPr/>
              <w:t>laboratories</w:t>
              <w:tab/>
              <w:t>19</w:t>
            </w:r>
          </w:hyperlink>
        </w:p>
      </w:sdtContent>
    </w:sdt>
    <w:p>
      <w:pPr>
        <w:spacing w:after="0" w:line="240" w:lineRule="auto"/>
        <w:jc w:val="left"/>
        <w:sectPr>
          <w:headerReference w:type="default" r:id="rId6"/>
          <w:footerReference w:type="default" r:id="rId7"/>
          <w:pgSz w:w="11910" w:h="16840"/>
          <w:pgMar w:header="504" w:footer="1014" w:top="1580" w:bottom="1200" w:left="1220" w:right="1280"/>
          <w:pgNumType w:start="1"/>
        </w:sectPr>
      </w:pPr>
    </w:p>
    <w:p>
      <w:pPr>
        <w:pStyle w:val="Heading1"/>
        <w:spacing w:before="151"/>
      </w:pPr>
      <w:bookmarkStart w:name="_bookmark0" w:id="1"/>
      <w:bookmarkEnd w:id="1"/>
      <w:r>
        <w:rPr>
          <w:b w:val="0"/>
        </w:rPr>
      </w:r>
      <w:r>
        <w:rPr/>
        <w:t>Acronyms</w:t>
      </w:r>
    </w:p>
    <w:p>
      <w:pPr>
        <w:pStyle w:val="BodyText"/>
        <w:spacing w:before="7"/>
        <w:rPr>
          <w:b/>
          <w:sz w:val="26"/>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3"/>
        <w:gridCol w:w="6169"/>
      </w:tblGrid>
      <w:tr>
        <w:trPr>
          <w:trHeight w:val="244" w:hRule="atLeast"/>
        </w:trPr>
        <w:tc>
          <w:tcPr>
            <w:tcW w:w="1803" w:type="dxa"/>
          </w:tcPr>
          <w:p>
            <w:pPr>
              <w:pStyle w:val="TableParagraph"/>
              <w:spacing w:line="225" w:lineRule="exact"/>
              <w:ind w:left="200"/>
              <w:rPr>
                <w:sz w:val="22"/>
              </w:rPr>
            </w:pPr>
            <w:r>
              <w:rPr>
                <w:sz w:val="22"/>
              </w:rPr>
              <w:t>ALT</w:t>
            </w:r>
          </w:p>
        </w:tc>
        <w:tc>
          <w:tcPr>
            <w:tcW w:w="6169" w:type="dxa"/>
          </w:tcPr>
          <w:p>
            <w:pPr>
              <w:pStyle w:val="TableParagraph"/>
              <w:spacing w:line="225" w:lineRule="exact"/>
              <w:ind w:left="744"/>
              <w:rPr>
                <w:sz w:val="22"/>
              </w:rPr>
            </w:pPr>
            <w:r>
              <w:rPr>
                <w:sz w:val="22"/>
              </w:rPr>
              <w:t>alanine aminotransferase</w:t>
            </w:r>
          </w:p>
        </w:tc>
      </w:tr>
      <w:tr>
        <w:trPr>
          <w:trHeight w:val="268" w:hRule="atLeast"/>
        </w:trPr>
        <w:tc>
          <w:tcPr>
            <w:tcW w:w="1803" w:type="dxa"/>
          </w:tcPr>
          <w:p>
            <w:pPr>
              <w:pStyle w:val="TableParagraph"/>
              <w:spacing w:line="249" w:lineRule="exact"/>
              <w:ind w:left="200"/>
              <w:rPr>
                <w:sz w:val="22"/>
              </w:rPr>
            </w:pPr>
            <w:r>
              <w:rPr>
                <w:sz w:val="22"/>
              </w:rPr>
              <w:t>AMR</w:t>
            </w:r>
          </w:p>
        </w:tc>
        <w:tc>
          <w:tcPr>
            <w:tcW w:w="6169" w:type="dxa"/>
          </w:tcPr>
          <w:p>
            <w:pPr>
              <w:pStyle w:val="TableParagraph"/>
              <w:spacing w:line="249" w:lineRule="exact"/>
              <w:ind w:left="744"/>
              <w:rPr>
                <w:sz w:val="22"/>
              </w:rPr>
            </w:pPr>
            <w:r>
              <w:rPr>
                <w:sz w:val="22"/>
              </w:rPr>
              <w:t>antimicrobial resistance</w:t>
            </w:r>
          </w:p>
        </w:tc>
      </w:tr>
      <w:tr>
        <w:trPr>
          <w:trHeight w:val="267" w:hRule="atLeast"/>
        </w:trPr>
        <w:tc>
          <w:tcPr>
            <w:tcW w:w="1803" w:type="dxa"/>
          </w:tcPr>
          <w:p>
            <w:pPr>
              <w:pStyle w:val="TableParagraph"/>
              <w:spacing w:line="248" w:lineRule="exact"/>
              <w:ind w:left="200"/>
              <w:rPr>
                <w:sz w:val="22"/>
              </w:rPr>
            </w:pPr>
            <w:r>
              <w:rPr>
                <w:sz w:val="22"/>
              </w:rPr>
              <w:t>AST</w:t>
            </w:r>
          </w:p>
        </w:tc>
        <w:tc>
          <w:tcPr>
            <w:tcW w:w="6169" w:type="dxa"/>
          </w:tcPr>
          <w:p>
            <w:pPr>
              <w:pStyle w:val="TableParagraph"/>
              <w:spacing w:line="248" w:lineRule="exact"/>
              <w:ind w:left="744"/>
              <w:rPr>
                <w:sz w:val="22"/>
              </w:rPr>
            </w:pPr>
            <w:r>
              <w:rPr>
                <w:sz w:val="22"/>
              </w:rPr>
              <w:t>aspartate aminotransferase</w:t>
            </w:r>
          </w:p>
        </w:tc>
      </w:tr>
      <w:tr>
        <w:trPr>
          <w:trHeight w:val="267" w:hRule="atLeast"/>
        </w:trPr>
        <w:tc>
          <w:tcPr>
            <w:tcW w:w="1803" w:type="dxa"/>
          </w:tcPr>
          <w:p>
            <w:pPr>
              <w:pStyle w:val="TableParagraph"/>
              <w:spacing w:line="247" w:lineRule="exact"/>
              <w:ind w:left="200"/>
              <w:rPr>
                <w:sz w:val="22"/>
              </w:rPr>
            </w:pPr>
            <w:r>
              <w:rPr>
                <w:sz w:val="22"/>
              </w:rPr>
              <w:t>BMP</w:t>
            </w:r>
          </w:p>
        </w:tc>
        <w:tc>
          <w:tcPr>
            <w:tcW w:w="6169" w:type="dxa"/>
          </w:tcPr>
          <w:p>
            <w:pPr>
              <w:pStyle w:val="TableParagraph"/>
              <w:spacing w:line="247" w:lineRule="exact"/>
              <w:ind w:left="744"/>
              <w:rPr>
                <w:sz w:val="22"/>
              </w:rPr>
            </w:pPr>
            <w:r>
              <w:rPr>
                <w:sz w:val="22"/>
              </w:rPr>
              <w:t>basic metabolic panel</w:t>
            </w:r>
          </w:p>
        </w:tc>
      </w:tr>
      <w:tr>
        <w:trPr>
          <w:trHeight w:val="268" w:hRule="atLeast"/>
        </w:trPr>
        <w:tc>
          <w:tcPr>
            <w:tcW w:w="1803" w:type="dxa"/>
          </w:tcPr>
          <w:p>
            <w:pPr>
              <w:pStyle w:val="TableParagraph"/>
              <w:spacing w:line="249" w:lineRule="exact"/>
              <w:ind w:left="200"/>
              <w:rPr>
                <w:sz w:val="22"/>
              </w:rPr>
            </w:pPr>
            <w:r>
              <w:rPr>
                <w:sz w:val="22"/>
              </w:rPr>
              <w:t>BUN</w:t>
            </w:r>
          </w:p>
        </w:tc>
        <w:tc>
          <w:tcPr>
            <w:tcW w:w="6169" w:type="dxa"/>
          </w:tcPr>
          <w:p>
            <w:pPr>
              <w:pStyle w:val="TableParagraph"/>
              <w:spacing w:line="249" w:lineRule="exact"/>
              <w:ind w:left="744"/>
              <w:rPr>
                <w:sz w:val="22"/>
              </w:rPr>
            </w:pPr>
            <w:r>
              <w:rPr>
                <w:sz w:val="22"/>
              </w:rPr>
              <w:t>blood urea nitrogen</w:t>
            </w:r>
          </w:p>
        </w:tc>
      </w:tr>
      <w:tr>
        <w:trPr>
          <w:trHeight w:val="268" w:hRule="atLeast"/>
        </w:trPr>
        <w:tc>
          <w:tcPr>
            <w:tcW w:w="1803" w:type="dxa"/>
          </w:tcPr>
          <w:p>
            <w:pPr>
              <w:pStyle w:val="TableParagraph"/>
              <w:spacing w:line="249" w:lineRule="exact"/>
              <w:ind w:left="200"/>
              <w:rPr>
                <w:sz w:val="22"/>
              </w:rPr>
            </w:pPr>
            <w:r>
              <w:rPr>
                <w:sz w:val="22"/>
              </w:rPr>
              <w:t>CBC</w:t>
            </w:r>
          </w:p>
        </w:tc>
        <w:tc>
          <w:tcPr>
            <w:tcW w:w="6169" w:type="dxa"/>
          </w:tcPr>
          <w:p>
            <w:pPr>
              <w:pStyle w:val="TableParagraph"/>
              <w:spacing w:line="249" w:lineRule="exact"/>
              <w:ind w:left="744"/>
              <w:rPr>
                <w:sz w:val="22"/>
              </w:rPr>
            </w:pPr>
            <w:r>
              <w:rPr>
                <w:sz w:val="22"/>
              </w:rPr>
              <w:t>complete blood count</w:t>
            </w:r>
          </w:p>
        </w:tc>
      </w:tr>
      <w:tr>
        <w:trPr>
          <w:trHeight w:val="268" w:hRule="atLeast"/>
        </w:trPr>
        <w:tc>
          <w:tcPr>
            <w:tcW w:w="1803" w:type="dxa"/>
          </w:tcPr>
          <w:p>
            <w:pPr>
              <w:pStyle w:val="TableParagraph"/>
              <w:spacing w:line="249" w:lineRule="exact"/>
              <w:ind w:left="200"/>
              <w:rPr>
                <w:sz w:val="22"/>
              </w:rPr>
            </w:pPr>
            <w:r>
              <w:rPr>
                <w:sz w:val="22"/>
              </w:rPr>
              <w:t>CLIA</w:t>
            </w:r>
          </w:p>
        </w:tc>
        <w:tc>
          <w:tcPr>
            <w:tcW w:w="6169" w:type="dxa"/>
          </w:tcPr>
          <w:p>
            <w:pPr>
              <w:pStyle w:val="TableParagraph"/>
              <w:spacing w:line="249" w:lineRule="exact"/>
              <w:ind w:left="744"/>
              <w:rPr>
                <w:sz w:val="22"/>
              </w:rPr>
            </w:pPr>
            <w:r>
              <w:rPr>
                <w:sz w:val="22"/>
              </w:rPr>
              <w:t>chemiluminescence immunoassay</w:t>
            </w:r>
          </w:p>
        </w:tc>
      </w:tr>
      <w:tr>
        <w:trPr>
          <w:trHeight w:val="269" w:hRule="atLeast"/>
        </w:trPr>
        <w:tc>
          <w:tcPr>
            <w:tcW w:w="1803" w:type="dxa"/>
          </w:tcPr>
          <w:p>
            <w:pPr>
              <w:pStyle w:val="TableParagraph"/>
              <w:spacing w:line="249" w:lineRule="exact"/>
              <w:ind w:left="200"/>
              <w:rPr>
                <w:sz w:val="22"/>
              </w:rPr>
            </w:pPr>
            <w:r>
              <w:rPr>
                <w:sz w:val="22"/>
              </w:rPr>
              <w:t>CRP</w:t>
            </w:r>
          </w:p>
        </w:tc>
        <w:tc>
          <w:tcPr>
            <w:tcW w:w="6169" w:type="dxa"/>
          </w:tcPr>
          <w:p>
            <w:pPr>
              <w:pStyle w:val="TableParagraph"/>
              <w:spacing w:line="249" w:lineRule="exact"/>
              <w:ind w:left="744"/>
              <w:rPr>
                <w:sz w:val="22"/>
              </w:rPr>
            </w:pPr>
            <w:r>
              <w:rPr>
                <w:sz w:val="22"/>
              </w:rPr>
              <w:t>C-reactive protein</w:t>
            </w:r>
          </w:p>
        </w:tc>
      </w:tr>
      <w:tr>
        <w:trPr>
          <w:trHeight w:val="269" w:hRule="atLeast"/>
        </w:trPr>
        <w:tc>
          <w:tcPr>
            <w:tcW w:w="1803" w:type="dxa"/>
          </w:tcPr>
          <w:p>
            <w:pPr>
              <w:pStyle w:val="TableParagraph"/>
              <w:spacing w:line="249" w:lineRule="exact"/>
              <w:ind w:left="200"/>
              <w:rPr>
                <w:sz w:val="22"/>
              </w:rPr>
            </w:pPr>
            <w:r>
              <w:rPr>
                <w:sz w:val="22"/>
              </w:rPr>
              <w:t>CSF</w:t>
            </w:r>
          </w:p>
        </w:tc>
        <w:tc>
          <w:tcPr>
            <w:tcW w:w="6169" w:type="dxa"/>
          </w:tcPr>
          <w:p>
            <w:pPr>
              <w:pStyle w:val="TableParagraph"/>
              <w:spacing w:line="249" w:lineRule="exact"/>
              <w:ind w:left="744"/>
              <w:rPr>
                <w:sz w:val="22"/>
              </w:rPr>
            </w:pPr>
            <w:r>
              <w:rPr>
                <w:sz w:val="22"/>
              </w:rPr>
              <w:t>cerebrospinal fluid</w:t>
            </w:r>
          </w:p>
        </w:tc>
      </w:tr>
      <w:tr>
        <w:trPr>
          <w:trHeight w:val="268" w:hRule="atLeast"/>
        </w:trPr>
        <w:tc>
          <w:tcPr>
            <w:tcW w:w="1803" w:type="dxa"/>
          </w:tcPr>
          <w:p>
            <w:pPr>
              <w:pStyle w:val="TableParagraph"/>
              <w:spacing w:line="249" w:lineRule="exact"/>
              <w:ind w:left="200"/>
              <w:rPr>
                <w:sz w:val="22"/>
              </w:rPr>
            </w:pPr>
            <w:r>
              <w:rPr>
                <w:sz w:val="22"/>
              </w:rPr>
              <w:t>CVD</w:t>
            </w:r>
          </w:p>
        </w:tc>
        <w:tc>
          <w:tcPr>
            <w:tcW w:w="6169" w:type="dxa"/>
          </w:tcPr>
          <w:p>
            <w:pPr>
              <w:pStyle w:val="TableParagraph"/>
              <w:spacing w:line="249" w:lineRule="exact"/>
              <w:ind w:left="744"/>
              <w:rPr>
                <w:sz w:val="22"/>
              </w:rPr>
            </w:pPr>
            <w:r>
              <w:rPr>
                <w:sz w:val="22"/>
              </w:rPr>
              <w:t>cardiovascular disease</w:t>
            </w:r>
          </w:p>
        </w:tc>
      </w:tr>
      <w:tr>
        <w:trPr>
          <w:trHeight w:val="268" w:hRule="atLeast"/>
        </w:trPr>
        <w:tc>
          <w:tcPr>
            <w:tcW w:w="1803" w:type="dxa"/>
          </w:tcPr>
          <w:p>
            <w:pPr>
              <w:pStyle w:val="TableParagraph"/>
              <w:spacing w:line="249" w:lineRule="exact"/>
              <w:ind w:left="200"/>
              <w:rPr>
                <w:sz w:val="22"/>
              </w:rPr>
            </w:pPr>
            <w:r>
              <w:rPr>
                <w:sz w:val="22"/>
              </w:rPr>
              <w:t>DST</w:t>
            </w:r>
          </w:p>
        </w:tc>
        <w:tc>
          <w:tcPr>
            <w:tcW w:w="6169" w:type="dxa"/>
          </w:tcPr>
          <w:p>
            <w:pPr>
              <w:pStyle w:val="TableParagraph"/>
              <w:spacing w:line="249" w:lineRule="exact"/>
              <w:ind w:left="744"/>
              <w:rPr>
                <w:sz w:val="22"/>
              </w:rPr>
            </w:pPr>
            <w:r>
              <w:rPr>
                <w:sz w:val="22"/>
              </w:rPr>
              <w:t>drug susceptibility testing</w:t>
            </w:r>
          </w:p>
        </w:tc>
      </w:tr>
      <w:tr>
        <w:trPr>
          <w:trHeight w:val="267" w:hRule="atLeast"/>
        </w:trPr>
        <w:tc>
          <w:tcPr>
            <w:tcW w:w="1803" w:type="dxa"/>
          </w:tcPr>
          <w:p>
            <w:pPr>
              <w:pStyle w:val="TableParagraph"/>
              <w:spacing w:line="248" w:lineRule="exact"/>
              <w:ind w:left="200"/>
              <w:rPr>
                <w:sz w:val="22"/>
              </w:rPr>
            </w:pPr>
            <w:r>
              <w:rPr>
                <w:sz w:val="22"/>
              </w:rPr>
              <w:t>ECL</w:t>
            </w:r>
          </w:p>
        </w:tc>
        <w:tc>
          <w:tcPr>
            <w:tcW w:w="6169" w:type="dxa"/>
          </w:tcPr>
          <w:p>
            <w:pPr>
              <w:pStyle w:val="TableParagraph"/>
              <w:spacing w:line="248" w:lineRule="exact"/>
              <w:ind w:left="744"/>
              <w:rPr>
                <w:sz w:val="22"/>
              </w:rPr>
            </w:pPr>
            <w:r>
              <w:rPr>
                <w:sz w:val="22"/>
              </w:rPr>
              <w:t>electrochemiluminescence</w:t>
            </w:r>
          </w:p>
        </w:tc>
      </w:tr>
      <w:tr>
        <w:trPr>
          <w:trHeight w:val="536" w:hRule="atLeast"/>
        </w:trPr>
        <w:tc>
          <w:tcPr>
            <w:tcW w:w="1803" w:type="dxa"/>
          </w:tcPr>
          <w:p>
            <w:pPr>
              <w:pStyle w:val="TableParagraph"/>
              <w:spacing w:before="113"/>
              <w:ind w:left="200"/>
              <w:rPr>
                <w:sz w:val="22"/>
              </w:rPr>
            </w:pPr>
            <w:r>
              <w:rPr>
                <w:sz w:val="22"/>
              </w:rPr>
              <w:t>EDL</w:t>
            </w:r>
          </w:p>
        </w:tc>
        <w:tc>
          <w:tcPr>
            <w:tcW w:w="6169" w:type="dxa"/>
          </w:tcPr>
          <w:p>
            <w:pPr>
              <w:pStyle w:val="TableParagraph"/>
              <w:spacing w:line="247" w:lineRule="exact"/>
              <w:ind w:left="744"/>
              <w:rPr>
                <w:sz w:val="22"/>
              </w:rPr>
            </w:pPr>
            <w:r>
              <w:rPr>
                <w:sz w:val="22"/>
              </w:rPr>
              <w:t>World Health Organization Model List of Essential In Vitro</w:t>
            </w:r>
          </w:p>
          <w:p>
            <w:pPr>
              <w:pStyle w:val="TableParagraph"/>
              <w:ind w:left="744"/>
              <w:rPr>
                <w:sz w:val="22"/>
              </w:rPr>
            </w:pPr>
            <w:r>
              <w:rPr>
                <w:sz w:val="22"/>
              </w:rPr>
              <w:t>Diagnostics</w:t>
            </w:r>
          </w:p>
        </w:tc>
      </w:tr>
      <w:tr>
        <w:trPr>
          <w:trHeight w:val="268" w:hRule="atLeast"/>
        </w:trPr>
        <w:tc>
          <w:tcPr>
            <w:tcW w:w="1803" w:type="dxa"/>
          </w:tcPr>
          <w:p>
            <w:pPr>
              <w:pStyle w:val="TableParagraph"/>
              <w:spacing w:line="249" w:lineRule="exact"/>
              <w:ind w:left="200"/>
              <w:rPr>
                <w:sz w:val="22"/>
              </w:rPr>
            </w:pPr>
            <w:r>
              <w:rPr>
                <w:sz w:val="22"/>
              </w:rPr>
              <w:t>eGFR</w:t>
            </w:r>
          </w:p>
        </w:tc>
        <w:tc>
          <w:tcPr>
            <w:tcW w:w="6169" w:type="dxa"/>
          </w:tcPr>
          <w:p>
            <w:pPr>
              <w:pStyle w:val="TableParagraph"/>
              <w:spacing w:line="249" w:lineRule="exact"/>
              <w:ind w:left="744"/>
              <w:rPr>
                <w:sz w:val="22"/>
              </w:rPr>
            </w:pPr>
            <w:r>
              <w:rPr>
                <w:sz w:val="22"/>
              </w:rPr>
              <w:t>estimated glomerular filtration rate</w:t>
            </w:r>
          </w:p>
        </w:tc>
      </w:tr>
      <w:tr>
        <w:trPr>
          <w:trHeight w:val="268" w:hRule="atLeast"/>
        </w:trPr>
        <w:tc>
          <w:tcPr>
            <w:tcW w:w="1803" w:type="dxa"/>
          </w:tcPr>
          <w:p>
            <w:pPr>
              <w:pStyle w:val="TableParagraph"/>
              <w:spacing w:line="249" w:lineRule="exact"/>
              <w:ind w:left="200"/>
              <w:rPr>
                <w:sz w:val="22"/>
              </w:rPr>
            </w:pPr>
            <w:r>
              <w:rPr>
                <w:sz w:val="22"/>
              </w:rPr>
              <w:t>EIA</w:t>
            </w:r>
          </w:p>
        </w:tc>
        <w:tc>
          <w:tcPr>
            <w:tcW w:w="6169" w:type="dxa"/>
          </w:tcPr>
          <w:p>
            <w:pPr>
              <w:pStyle w:val="TableParagraph"/>
              <w:spacing w:line="249" w:lineRule="exact"/>
              <w:ind w:left="744"/>
              <w:rPr>
                <w:sz w:val="22"/>
              </w:rPr>
            </w:pPr>
            <w:r>
              <w:rPr>
                <w:sz w:val="22"/>
              </w:rPr>
              <w:t>enzyme immunoassay</w:t>
            </w:r>
          </w:p>
        </w:tc>
      </w:tr>
      <w:tr>
        <w:trPr>
          <w:trHeight w:val="268" w:hRule="atLeast"/>
        </w:trPr>
        <w:tc>
          <w:tcPr>
            <w:tcW w:w="1803" w:type="dxa"/>
          </w:tcPr>
          <w:p>
            <w:pPr>
              <w:pStyle w:val="TableParagraph"/>
              <w:spacing w:line="249" w:lineRule="exact"/>
              <w:ind w:left="200"/>
              <w:rPr>
                <w:sz w:val="22"/>
              </w:rPr>
            </w:pPr>
            <w:r>
              <w:rPr>
                <w:sz w:val="22"/>
              </w:rPr>
              <w:t>ELISA</w:t>
            </w:r>
          </w:p>
        </w:tc>
        <w:tc>
          <w:tcPr>
            <w:tcW w:w="6169" w:type="dxa"/>
          </w:tcPr>
          <w:p>
            <w:pPr>
              <w:pStyle w:val="TableParagraph"/>
              <w:spacing w:line="249" w:lineRule="exact"/>
              <w:ind w:left="744"/>
              <w:rPr>
                <w:sz w:val="22"/>
              </w:rPr>
            </w:pPr>
            <w:r>
              <w:rPr>
                <w:sz w:val="22"/>
              </w:rPr>
              <w:t>enzyme linked immunosorbent assay</w:t>
            </w:r>
          </w:p>
        </w:tc>
      </w:tr>
      <w:tr>
        <w:trPr>
          <w:trHeight w:val="537" w:hRule="atLeast"/>
        </w:trPr>
        <w:tc>
          <w:tcPr>
            <w:tcW w:w="1803" w:type="dxa"/>
          </w:tcPr>
          <w:p>
            <w:pPr>
              <w:pStyle w:val="TableParagraph"/>
              <w:spacing w:before="114"/>
              <w:ind w:left="200"/>
              <w:rPr>
                <w:sz w:val="22"/>
              </w:rPr>
            </w:pPr>
            <w:r>
              <w:rPr>
                <w:sz w:val="22"/>
              </w:rPr>
              <w:t>EML</w:t>
            </w:r>
          </w:p>
        </w:tc>
        <w:tc>
          <w:tcPr>
            <w:tcW w:w="6169" w:type="dxa"/>
          </w:tcPr>
          <w:p>
            <w:pPr>
              <w:pStyle w:val="TableParagraph"/>
              <w:spacing w:line="249" w:lineRule="exact"/>
              <w:ind w:left="744"/>
              <w:rPr>
                <w:sz w:val="22"/>
              </w:rPr>
            </w:pPr>
            <w:r>
              <w:rPr>
                <w:sz w:val="22"/>
              </w:rPr>
              <w:t>World Health Organization Model List of Essential</w:t>
            </w:r>
          </w:p>
          <w:p>
            <w:pPr>
              <w:pStyle w:val="TableParagraph"/>
              <w:ind w:left="744"/>
              <w:rPr>
                <w:sz w:val="22"/>
              </w:rPr>
            </w:pPr>
            <w:r>
              <w:rPr>
                <w:sz w:val="22"/>
              </w:rPr>
              <w:t>Medicines</w:t>
            </w:r>
          </w:p>
        </w:tc>
      </w:tr>
      <w:tr>
        <w:trPr>
          <w:trHeight w:val="269" w:hRule="atLeast"/>
        </w:trPr>
        <w:tc>
          <w:tcPr>
            <w:tcW w:w="1803" w:type="dxa"/>
          </w:tcPr>
          <w:p>
            <w:pPr>
              <w:pStyle w:val="TableParagraph"/>
              <w:spacing w:line="249" w:lineRule="exact"/>
              <w:ind w:left="200"/>
              <w:rPr>
                <w:sz w:val="22"/>
              </w:rPr>
            </w:pPr>
            <w:r>
              <w:rPr>
                <w:sz w:val="22"/>
              </w:rPr>
              <w:t>EPTB</w:t>
            </w:r>
          </w:p>
        </w:tc>
        <w:tc>
          <w:tcPr>
            <w:tcW w:w="6169" w:type="dxa"/>
          </w:tcPr>
          <w:p>
            <w:pPr>
              <w:pStyle w:val="TableParagraph"/>
              <w:spacing w:line="249" w:lineRule="exact"/>
              <w:ind w:left="744"/>
              <w:rPr>
                <w:sz w:val="22"/>
              </w:rPr>
            </w:pPr>
            <w:r>
              <w:rPr>
                <w:sz w:val="22"/>
              </w:rPr>
              <w:t>extrapulmonary tuberculosis</w:t>
            </w:r>
          </w:p>
        </w:tc>
      </w:tr>
      <w:tr>
        <w:trPr>
          <w:trHeight w:val="269" w:hRule="atLeast"/>
        </w:trPr>
        <w:tc>
          <w:tcPr>
            <w:tcW w:w="1803" w:type="dxa"/>
          </w:tcPr>
          <w:p>
            <w:pPr>
              <w:pStyle w:val="TableParagraph"/>
              <w:spacing w:line="249" w:lineRule="exact"/>
              <w:ind w:left="200"/>
              <w:rPr>
                <w:sz w:val="22"/>
              </w:rPr>
            </w:pPr>
            <w:r>
              <w:rPr>
                <w:sz w:val="22"/>
              </w:rPr>
              <w:t>GPW</w:t>
            </w:r>
          </w:p>
        </w:tc>
        <w:tc>
          <w:tcPr>
            <w:tcW w:w="6169" w:type="dxa"/>
          </w:tcPr>
          <w:p>
            <w:pPr>
              <w:pStyle w:val="TableParagraph"/>
              <w:spacing w:line="249" w:lineRule="exact"/>
              <w:ind w:left="744"/>
              <w:rPr>
                <w:sz w:val="22"/>
              </w:rPr>
            </w:pPr>
            <w:r>
              <w:rPr>
                <w:sz w:val="22"/>
              </w:rPr>
              <w:t>WHO General Programme of Work</w:t>
            </w:r>
          </w:p>
        </w:tc>
      </w:tr>
      <w:tr>
        <w:trPr>
          <w:trHeight w:val="267" w:hRule="atLeast"/>
        </w:trPr>
        <w:tc>
          <w:tcPr>
            <w:tcW w:w="1803" w:type="dxa"/>
          </w:tcPr>
          <w:p>
            <w:pPr>
              <w:pStyle w:val="TableParagraph"/>
              <w:spacing w:line="248" w:lineRule="exact"/>
              <w:ind w:left="200"/>
              <w:rPr>
                <w:sz w:val="22"/>
              </w:rPr>
            </w:pPr>
            <w:r>
              <w:rPr>
                <w:sz w:val="22"/>
              </w:rPr>
              <w:t>Hb</w:t>
            </w:r>
          </w:p>
        </w:tc>
        <w:tc>
          <w:tcPr>
            <w:tcW w:w="6169" w:type="dxa"/>
          </w:tcPr>
          <w:p>
            <w:pPr>
              <w:pStyle w:val="TableParagraph"/>
              <w:spacing w:line="248" w:lineRule="exact"/>
              <w:ind w:left="744"/>
              <w:rPr>
                <w:sz w:val="22"/>
              </w:rPr>
            </w:pPr>
            <w:r>
              <w:rPr>
                <w:sz w:val="22"/>
              </w:rPr>
              <w:t>haemoglobin</w:t>
            </w:r>
          </w:p>
        </w:tc>
      </w:tr>
      <w:tr>
        <w:trPr>
          <w:trHeight w:val="267" w:hRule="atLeast"/>
        </w:trPr>
        <w:tc>
          <w:tcPr>
            <w:tcW w:w="1803" w:type="dxa"/>
          </w:tcPr>
          <w:p>
            <w:pPr>
              <w:pStyle w:val="TableParagraph"/>
              <w:spacing w:line="247" w:lineRule="exact"/>
              <w:ind w:left="200"/>
              <w:rPr>
                <w:sz w:val="22"/>
              </w:rPr>
            </w:pPr>
            <w:r>
              <w:rPr>
                <w:sz w:val="22"/>
              </w:rPr>
              <w:t>HbA1c</w:t>
            </w:r>
          </w:p>
        </w:tc>
        <w:tc>
          <w:tcPr>
            <w:tcW w:w="6169" w:type="dxa"/>
          </w:tcPr>
          <w:p>
            <w:pPr>
              <w:pStyle w:val="TableParagraph"/>
              <w:spacing w:line="247" w:lineRule="exact"/>
              <w:ind w:left="744"/>
              <w:rPr>
                <w:sz w:val="22"/>
              </w:rPr>
            </w:pPr>
            <w:r>
              <w:rPr>
                <w:sz w:val="22"/>
              </w:rPr>
              <w:t>haemoglobin A1c</w:t>
            </w:r>
          </w:p>
        </w:tc>
      </w:tr>
      <w:tr>
        <w:trPr>
          <w:trHeight w:val="268" w:hRule="atLeast"/>
        </w:trPr>
        <w:tc>
          <w:tcPr>
            <w:tcW w:w="1803" w:type="dxa"/>
          </w:tcPr>
          <w:p>
            <w:pPr>
              <w:pStyle w:val="TableParagraph"/>
              <w:spacing w:line="249" w:lineRule="exact"/>
              <w:ind w:left="200"/>
              <w:rPr>
                <w:sz w:val="22"/>
              </w:rPr>
            </w:pPr>
            <w:r>
              <w:rPr>
                <w:sz w:val="22"/>
              </w:rPr>
              <w:t>hCG</w:t>
            </w:r>
          </w:p>
        </w:tc>
        <w:tc>
          <w:tcPr>
            <w:tcW w:w="6169" w:type="dxa"/>
          </w:tcPr>
          <w:p>
            <w:pPr>
              <w:pStyle w:val="TableParagraph"/>
              <w:spacing w:line="249" w:lineRule="exact"/>
              <w:ind w:left="744"/>
              <w:rPr>
                <w:sz w:val="22"/>
              </w:rPr>
            </w:pPr>
            <w:r>
              <w:rPr>
                <w:sz w:val="22"/>
              </w:rPr>
              <w:t>human chorionic gonadotropin</w:t>
            </w:r>
          </w:p>
        </w:tc>
      </w:tr>
      <w:tr>
        <w:trPr>
          <w:trHeight w:val="268" w:hRule="atLeast"/>
        </w:trPr>
        <w:tc>
          <w:tcPr>
            <w:tcW w:w="1803" w:type="dxa"/>
          </w:tcPr>
          <w:p>
            <w:pPr>
              <w:pStyle w:val="TableParagraph"/>
              <w:spacing w:line="249" w:lineRule="exact"/>
              <w:ind w:left="200"/>
              <w:rPr>
                <w:sz w:val="22"/>
              </w:rPr>
            </w:pPr>
            <w:r>
              <w:rPr>
                <w:sz w:val="22"/>
              </w:rPr>
              <w:t>Ht</w:t>
            </w:r>
          </w:p>
        </w:tc>
        <w:tc>
          <w:tcPr>
            <w:tcW w:w="6169" w:type="dxa"/>
          </w:tcPr>
          <w:p>
            <w:pPr>
              <w:pStyle w:val="TableParagraph"/>
              <w:spacing w:line="249" w:lineRule="exact"/>
              <w:ind w:left="744"/>
              <w:rPr>
                <w:sz w:val="22"/>
              </w:rPr>
            </w:pPr>
            <w:r>
              <w:rPr>
                <w:sz w:val="22"/>
              </w:rPr>
              <w:t>haematocrit</w:t>
            </w:r>
          </w:p>
        </w:tc>
      </w:tr>
      <w:tr>
        <w:trPr>
          <w:trHeight w:val="268" w:hRule="atLeast"/>
        </w:trPr>
        <w:tc>
          <w:tcPr>
            <w:tcW w:w="1803" w:type="dxa"/>
          </w:tcPr>
          <w:p>
            <w:pPr>
              <w:pStyle w:val="TableParagraph"/>
              <w:spacing w:line="249" w:lineRule="exact"/>
              <w:ind w:left="200"/>
              <w:rPr>
                <w:sz w:val="22"/>
              </w:rPr>
            </w:pPr>
            <w:r>
              <w:rPr>
                <w:sz w:val="22"/>
              </w:rPr>
              <w:t>HTLV</w:t>
            </w:r>
          </w:p>
        </w:tc>
        <w:tc>
          <w:tcPr>
            <w:tcW w:w="6169" w:type="dxa"/>
          </w:tcPr>
          <w:p>
            <w:pPr>
              <w:pStyle w:val="TableParagraph"/>
              <w:spacing w:line="249" w:lineRule="exact"/>
              <w:ind w:left="744"/>
              <w:rPr>
                <w:sz w:val="22"/>
              </w:rPr>
            </w:pPr>
            <w:r>
              <w:rPr>
                <w:sz w:val="22"/>
              </w:rPr>
              <w:t>human T-lymphotropic virus</w:t>
            </w:r>
          </w:p>
        </w:tc>
      </w:tr>
      <w:tr>
        <w:trPr>
          <w:trHeight w:val="268" w:hRule="atLeast"/>
        </w:trPr>
        <w:tc>
          <w:tcPr>
            <w:tcW w:w="1803" w:type="dxa"/>
          </w:tcPr>
          <w:p>
            <w:pPr>
              <w:pStyle w:val="TableParagraph"/>
              <w:spacing w:line="249" w:lineRule="exact"/>
              <w:ind w:left="200"/>
              <w:rPr>
                <w:sz w:val="22"/>
              </w:rPr>
            </w:pPr>
            <w:r>
              <w:rPr>
                <w:sz w:val="22"/>
              </w:rPr>
              <w:t>IGRA</w:t>
            </w:r>
          </w:p>
        </w:tc>
        <w:tc>
          <w:tcPr>
            <w:tcW w:w="6169" w:type="dxa"/>
          </w:tcPr>
          <w:p>
            <w:pPr>
              <w:pStyle w:val="TableParagraph"/>
              <w:spacing w:line="249" w:lineRule="exact"/>
              <w:ind w:left="744"/>
              <w:rPr>
                <w:sz w:val="22"/>
              </w:rPr>
            </w:pPr>
            <w:r>
              <w:rPr>
                <w:sz w:val="22"/>
              </w:rPr>
              <w:t>interferon gamma release assay</w:t>
            </w:r>
          </w:p>
        </w:tc>
      </w:tr>
      <w:tr>
        <w:trPr>
          <w:trHeight w:val="268" w:hRule="atLeast"/>
        </w:trPr>
        <w:tc>
          <w:tcPr>
            <w:tcW w:w="1803" w:type="dxa"/>
          </w:tcPr>
          <w:p>
            <w:pPr>
              <w:pStyle w:val="TableParagraph"/>
              <w:spacing w:line="249" w:lineRule="exact"/>
              <w:ind w:left="200"/>
              <w:rPr>
                <w:sz w:val="22"/>
              </w:rPr>
            </w:pPr>
            <w:r>
              <w:rPr>
                <w:sz w:val="22"/>
              </w:rPr>
              <w:t>INR</w:t>
            </w:r>
          </w:p>
        </w:tc>
        <w:tc>
          <w:tcPr>
            <w:tcW w:w="6169" w:type="dxa"/>
          </w:tcPr>
          <w:p>
            <w:pPr>
              <w:pStyle w:val="TableParagraph"/>
              <w:spacing w:line="249" w:lineRule="exact"/>
              <w:ind w:left="744"/>
              <w:rPr>
                <w:sz w:val="22"/>
              </w:rPr>
            </w:pPr>
            <w:r>
              <w:rPr>
                <w:sz w:val="22"/>
              </w:rPr>
              <w:t>international normalized ratio</w:t>
            </w:r>
          </w:p>
        </w:tc>
      </w:tr>
      <w:tr>
        <w:trPr>
          <w:trHeight w:val="268" w:hRule="atLeast"/>
        </w:trPr>
        <w:tc>
          <w:tcPr>
            <w:tcW w:w="1803" w:type="dxa"/>
          </w:tcPr>
          <w:p>
            <w:pPr>
              <w:pStyle w:val="TableParagraph"/>
              <w:spacing w:line="249" w:lineRule="exact"/>
              <w:ind w:left="200"/>
              <w:rPr>
                <w:sz w:val="22"/>
              </w:rPr>
            </w:pPr>
            <w:r>
              <w:rPr>
                <w:sz w:val="22"/>
              </w:rPr>
              <w:t>IVDs</w:t>
            </w:r>
          </w:p>
        </w:tc>
        <w:tc>
          <w:tcPr>
            <w:tcW w:w="6169" w:type="dxa"/>
          </w:tcPr>
          <w:p>
            <w:pPr>
              <w:pStyle w:val="TableParagraph"/>
              <w:spacing w:line="249" w:lineRule="exact"/>
              <w:ind w:left="744"/>
              <w:rPr>
                <w:sz w:val="22"/>
              </w:rPr>
            </w:pPr>
            <w:r>
              <w:rPr>
                <w:sz w:val="22"/>
              </w:rPr>
              <w:t>in vitro diagnostics</w:t>
            </w:r>
          </w:p>
        </w:tc>
      </w:tr>
      <w:tr>
        <w:trPr>
          <w:trHeight w:val="268" w:hRule="atLeast"/>
        </w:trPr>
        <w:tc>
          <w:tcPr>
            <w:tcW w:w="1803" w:type="dxa"/>
          </w:tcPr>
          <w:p>
            <w:pPr>
              <w:pStyle w:val="TableParagraph"/>
              <w:spacing w:line="249" w:lineRule="exact"/>
              <w:ind w:left="200"/>
              <w:rPr>
                <w:sz w:val="22"/>
              </w:rPr>
            </w:pPr>
            <w:r>
              <w:rPr>
                <w:sz w:val="22"/>
              </w:rPr>
              <w:t>LAMP</w:t>
            </w:r>
          </w:p>
        </w:tc>
        <w:tc>
          <w:tcPr>
            <w:tcW w:w="6169" w:type="dxa"/>
          </w:tcPr>
          <w:p>
            <w:pPr>
              <w:pStyle w:val="TableParagraph"/>
              <w:spacing w:line="249" w:lineRule="exact"/>
              <w:ind w:left="744"/>
              <w:rPr>
                <w:sz w:val="22"/>
              </w:rPr>
            </w:pPr>
            <w:r>
              <w:rPr>
                <w:sz w:val="22"/>
              </w:rPr>
              <w:t>loop mediated isothermal amplification</w:t>
            </w:r>
          </w:p>
        </w:tc>
      </w:tr>
      <w:tr>
        <w:trPr>
          <w:trHeight w:val="268" w:hRule="atLeast"/>
        </w:trPr>
        <w:tc>
          <w:tcPr>
            <w:tcW w:w="1803" w:type="dxa"/>
          </w:tcPr>
          <w:p>
            <w:pPr>
              <w:pStyle w:val="TableParagraph"/>
              <w:spacing w:line="249" w:lineRule="exact"/>
              <w:ind w:left="200"/>
              <w:rPr>
                <w:sz w:val="22"/>
              </w:rPr>
            </w:pPr>
            <w:r>
              <w:rPr>
                <w:sz w:val="22"/>
              </w:rPr>
              <w:t>LPA</w:t>
            </w:r>
          </w:p>
        </w:tc>
        <w:tc>
          <w:tcPr>
            <w:tcW w:w="6169" w:type="dxa"/>
          </w:tcPr>
          <w:p>
            <w:pPr>
              <w:pStyle w:val="TableParagraph"/>
              <w:spacing w:line="249" w:lineRule="exact"/>
              <w:ind w:left="744"/>
              <w:rPr>
                <w:sz w:val="22"/>
              </w:rPr>
            </w:pPr>
            <w:r>
              <w:rPr>
                <w:sz w:val="22"/>
              </w:rPr>
              <w:t>line probe assay</w:t>
            </w:r>
          </w:p>
        </w:tc>
      </w:tr>
      <w:tr>
        <w:trPr>
          <w:trHeight w:val="267" w:hRule="atLeast"/>
        </w:trPr>
        <w:tc>
          <w:tcPr>
            <w:tcW w:w="1803" w:type="dxa"/>
          </w:tcPr>
          <w:p>
            <w:pPr>
              <w:pStyle w:val="TableParagraph"/>
              <w:spacing w:line="248" w:lineRule="exact"/>
              <w:ind w:left="200"/>
              <w:rPr>
                <w:sz w:val="22"/>
              </w:rPr>
            </w:pPr>
            <w:r>
              <w:rPr>
                <w:sz w:val="22"/>
              </w:rPr>
              <w:t>NAT</w:t>
            </w:r>
          </w:p>
        </w:tc>
        <w:tc>
          <w:tcPr>
            <w:tcW w:w="6169" w:type="dxa"/>
          </w:tcPr>
          <w:p>
            <w:pPr>
              <w:pStyle w:val="TableParagraph"/>
              <w:spacing w:line="248" w:lineRule="exact"/>
              <w:ind w:left="744"/>
              <w:rPr>
                <w:sz w:val="22"/>
              </w:rPr>
            </w:pPr>
            <w:r>
              <w:rPr>
                <w:sz w:val="22"/>
              </w:rPr>
              <w:t>nucleic acid test</w:t>
            </w:r>
          </w:p>
        </w:tc>
      </w:tr>
      <w:tr>
        <w:trPr>
          <w:trHeight w:val="267" w:hRule="atLeast"/>
        </w:trPr>
        <w:tc>
          <w:tcPr>
            <w:tcW w:w="1803" w:type="dxa"/>
          </w:tcPr>
          <w:p>
            <w:pPr>
              <w:pStyle w:val="TableParagraph"/>
              <w:spacing w:line="248" w:lineRule="exact"/>
              <w:ind w:left="200"/>
              <w:rPr>
                <w:sz w:val="22"/>
              </w:rPr>
            </w:pPr>
            <w:r>
              <w:rPr>
                <w:sz w:val="22"/>
              </w:rPr>
              <w:t>NCDs</w:t>
            </w:r>
          </w:p>
        </w:tc>
        <w:tc>
          <w:tcPr>
            <w:tcW w:w="6169" w:type="dxa"/>
          </w:tcPr>
          <w:p>
            <w:pPr>
              <w:pStyle w:val="TableParagraph"/>
              <w:spacing w:line="248" w:lineRule="exact"/>
              <w:ind w:left="744"/>
              <w:rPr>
                <w:sz w:val="22"/>
              </w:rPr>
            </w:pPr>
            <w:r>
              <w:rPr>
                <w:sz w:val="22"/>
              </w:rPr>
              <w:t>noncommunicable diseases</w:t>
            </w:r>
          </w:p>
        </w:tc>
      </w:tr>
      <w:tr>
        <w:trPr>
          <w:trHeight w:val="268" w:hRule="atLeast"/>
        </w:trPr>
        <w:tc>
          <w:tcPr>
            <w:tcW w:w="1803" w:type="dxa"/>
          </w:tcPr>
          <w:p>
            <w:pPr>
              <w:pStyle w:val="TableParagraph"/>
              <w:spacing w:line="249" w:lineRule="exact"/>
              <w:ind w:left="200"/>
              <w:rPr>
                <w:sz w:val="22"/>
              </w:rPr>
            </w:pPr>
            <w:r>
              <w:rPr>
                <w:sz w:val="22"/>
              </w:rPr>
              <w:t>PQ</w:t>
            </w:r>
          </w:p>
        </w:tc>
        <w:tc>
          <w:tcPr>
            <w:tcW w:w="6169" w:type="dxa"/>
          </w:tcPr>
          <w:p>
            <w:pPr>
              <w:pStyle w:val="TableParagraph"/>
              <w:spacing w:line="249" w:lineRule="exact"/>
              <w:ind w:left="744"/>
              <w:rPr>
                <w:sz w:val="22"/>
              </w:rPr>
            </w:pPr>
            <w:r>
              <w:rPr>
                <w:sz w:val="22"/>
              </w:rPr>
              <w:t>WHO Prequalification</w:t>
            </w:r>
          </w:p>
        </w:tc>
      </w:tr>
      <w:tr>
        <w:trPr>
          <w:trHeight w:val="268" w:hRule="atLeast"/>
        </w:trPr>
        <w:tc>
          <w:tcPr>
            <w:tcW w:w="1803" w:type="dxa"/>
          </w:tcPr>
          <w:p>
            <w:pPr>
              <w:pStyle w:val="TableParagraph"/>
              <w:spacing w:line="249" w:lineRule="exact"/>
              <w:ind w:left="200"/>
              <w:rPr>
                <w:sz w:val="22"/>
              </w:rPr>
            </w:pPr>
            <w:r>
              <w:rPr>
                <w:sz w:val="22"/>
              </w:rPr>
              <w:t>PT</w:t>
            </w:r>
          </w:p>
        </w:tc>
        <w:tc>
          <w:tcPr>
            <w:tcW w:w="6169" w:type="dxa"/>
          </w:tcPr>
          <w:p>
            <w:pPr>
              <w:pStyle w:val="TableParagraph"/>
              <w:spacing w:line="249" w:lineRule="exact"/>
              <w:ind w:left="744"/>
              <w:rPr>
                <w:sz w:val="22"/>
              </w:rPr>
            </w:pPr>
            <w:r>
              <w:rPr>
                <w:sz w:val="22"/>
              </w:rPr>
              <w:t>prothrombin time</w:t>
            </w:r>
          </w:p>
        </w:tc>
      </w:tr>
      <w:tr>
        <w:trPr>
          <w:trHeight w:val="268" w:hRule="atLeast"/>
        </w:trPr>
        <w:tc>
          <w:tcPr>
            <w:tcW w:w="1803" w:type="dxa"/>
          </w:tcPr>
          <w:p>
            <w:pPr>
              <w:pStyle w:val="TableParagraph"/>
              <w:spacing w:line="249" w:lineRule="exact"/>
              <w:ind w:left="200"/>
              <w:rPr>
                <w:sz w:val="22"/>
              </w:rPr>
            </w:pPr>
            <w:r>
              <w:rPr>
                <w:sz w:val="22"/>
              </w:rPr>
              <w:t>RBC</w:t>
            </w:r>
          </w:p>
        </w:tc>
        <w:tc>
          <w:tcPr>
            <w:tcW w:w="6169" w:type="dxa"/>
          </w:tcPr>
          <w:p>
            <w:pPr>
              <w:pStyle w:val="TableParagraph"/>
              <w:spacing w:line="249" w:lineRule="exact"/>
              <w:ind w:left="744"/>
              <w:rPr>
                <w:sz w:val="22"/>
              </w:rPr>
            </w:pPr>
            <w:r>
              <w:rPr>
                <w:sz w:val="22"/>
              </w:rPr>
              <w:t>red blood cell count</w:t>
            </w:r>
          </w:p>
        </w:tc>
      </w:tr>
      <w:tr>
        <w:trPr>
          <w:trHeight w:val="268" w:hRule="atLeast"/>
        </w:trPr>
        <w:tc>
          <w:tcPr>
            <w:tcW w:w="1803" w:type="dxa"/>
          </w:tcPr>
          <w:p>
            <w:pPr>
              <w:pStyle w:val="TableParagraph"/>
              <w:spacing w:line="249" w:lineRule="exact"/>
              <w:ind w:left="200"/>
              <w:rPr>
                <w:sz w:val="22"/>
              </w:rPr>
            </w:pPr>
            <w:r>
              <w:rPr>
                <w:sz w:val="22"/>
              </w:rPr>
              <w:t>RDT</w:t>
            </w:r>
          </w:p>
        </w:tc>
        <w:tc>
          <w:tcPr>
            <w:tcW w:w="6169" w:type="dxa"/>
          </w:tcPr>
          <w:p>
            <w:pPr>
              <w:pStyle w:val="TableParagraph"/>
              <w:spacing w:line="249" w:lineRule="exact"/>
              <w:ind w:left="744"/>
              <w:rPr>
                <w:sz w:val="22"/>
              </w:rPr>
            </w:pPr>
            <w:r>
              <w:rPr>
                <w:sz w:val="22"/>
              </w:rPr>
              <w:t>rapid diagnostic test</w:t>
            </w:r>
          </w:p>
        </w:tc>
      </w:tr>
      <w:tr>
        <w:trPr>
          <w:trHeight w:val="268" w:hRule="atLeast"/>
        </w:trPr>
        <w:tc>
          <w:tcPr>
            <w:tcW w:w="1803" w:type="dxa"/>
          </w:tcPr>
          <w:p>
            <w:pPr>
              <w:pStyle w:val="TableParagraph"/>
              <w:spacing w:line="249" w:lineRule="exact"/>
              <w:ind w:left="200"/>
              <w:rPr>
                <w:sz w:val="22"/>
              </w:rPr>
            </w:pPr>
            <w:r>
              <w:rPr>
                <w:sz w:val="22"/>
              </w:rPr>
              <w:t>SAGE-IVD</w:t>
            </w:r>
          </w:p>
        </w:tc>
        <w:tc>
          <w:tcPr>
            <w:tcW w:w="6169" w:type="dxa"/>
          </w:tcPr>
          <w:p>
            <w:pPr>
              <w:pStyle w:val="TableParagraph"/>
              <w:spacing w:line="249" w:lineRule="exact"/>
              <w:ind w:left="744"/>
              <w:rPr>
                <w:sz w:val="22"/>
              </w:rPr>
            </w:pPr>
            <w:r>
              <w:rPr>
                <w:sz w:val="22"/>
              </w:rPr>
              <w:t>Strategic Advisory Group of Experts on In Vitro Diagnostics</w:t>
            </w:r>
          </w:p>
        </w:tc>
      </w:tr>
      <w:tr>
        <w:trPr>
          <w:trHeight w:val="268" w:hRule="atLeast"/>
        </w:trPr>
        <w:tc>
          <w:tcPr>
            <w:tcW w:w="1803" w:type="dxa"/>
          </w:tcPr>
          <w:p>
            <w:pPr>
              <w:pStyle w:val="TableParagraph"/>
              <w:spacing w:line="249" w:lineRule="exact"/>
              <w:ind w:left="200"/>
              <w:rPr>
                <w:sz w:val="22"/>
              </w:rPr>
            </w:pPr>
            <w:r>
              <w:rPr>
                <w:sz w:val="22"/>
              </w:rPr>
              <w:t>TB</w:t>
            </w:r>
          </w:p>
        </w:tc>
        <w:tc>
          <w:tcPr>
            <w:tcW w:w="6169" w:type="dxa"/>
          </w:tcPr>
          <w:p>
            <w:pPr>
              <w:pStyle w:val="TableParagraph"/>
              <w:spacing w:line="249" w:lineRule="exact"/>
              <w:ind w:left="744"/>
              <w:rPr>
                <w:sz w:val="22"/>
              </w:rPr>
            </w:pPr>
            <w:r>
              <w:rPr>
                <w:sz w:val="22"/>
              </w:rPr>
              <w:t>Mycobacterium tuberculosis</w:t>
            </w:r>
          </w:p>
        </w:tc>
      </w:tr>
      <w:tr>
        <w:trPr>
          <w:trHeight w:val="268" w:hRule="atLeast"/>
        </w:trPr>
        <w:tc>
          <w:tcPr>
            <w:tcW w:w="1803" w:type="dxa"/>
          </w:tcPr>
          <w:p>
            <w:pPr>
              <w:pStyle w:val="TableParagraph"/>
              <w:spacing w:line="249" w:lineRule="exact"/>
              <w:ind w:left="200"/>
              <w:rPr>
                <w:sz w:val="22"/>
              </w:rPr>
            </w:pPr>
            <w:r>
              <w:rPr>
                <w:sz w:val="22"/>
              </w:rPr>
              <w:t>TST</w:t>
            </w:r>
          </w:p>
        </w:tc>
        <w:tc>
          <w:tcPr>
            <w:tcW w:w="6169" w:type="dxa"/>
          </w:tcPr>
          <w:p>
            <w:pPr>
              <w:pStyle w:val="TableParagraph"/>
              <w:spacing w:line="249" w:lineRule="exact"/>
              <w:ind w:left="744"/>
              <w:rPr>
                <w:sz w:val="22"/>
              </w:rPr>
            </w:pPr>
            <w:r>
              <w:rPr>
                <w:sz w:val="22"/>
              </w:rPr>
              <w:t>tuberculin skin test</w:t>
            </w:r>
          </w:p>
        </w:tc>
      </w:tr>
      <w:tr>
        <w:trPr>
          <w:trHeight w:val="268" w:hRule="atLeast"/>
        </w:trPr>
        <w:tc>
          <w:tcPr>
            <w:tcW w:w="1803" w:type="dxa"/>
          </w:tcPr>
          <w:p>
            <w:pPr>
              <w:pStyle w:val="TableParagraph"/>
              <w:spacing w:line="249" w:lineRule="exact"/>
              <w:ind w:left="200"/>
              <w:rPr>
                <w:sz w:val="22"/>
              </w:rPr>
            </w:pPr>
            <w:r>
              <w:rPr>
                <w:sz w:val="22"/>
              </w:rPr>
              <w:t>UTI</w:t>
            </w:r>
          </w:p>
        </w:tc>
        <w:tc>
          <w:tcPr>
            <w:tcW w:w="6169" w:type="dxa"/>
          </w:tcPr>
          <w:p>
            <w:pPr>
              <w:pStyle w:val="TableParagraph"/>
              <w:spacing w:line="249" w:lineRule="exact"/>
              <w:ind w:left="744"/>
              <w:rPr>
                <w:sz w:val="22"/>
              </w:rPr>
            </w:pPr>
            <w:r>
              <w:rPr>
                <w:sz w:val="22"/>
              </w:rPr>
              <w:t>urinary tract infection</w:t>
            </w:r>
          </w:p>
        </w:tc>
      </w:tr>
      <w:tr>
        <w:trPr>
          <w:trHeight w:val="267" w:hRule="atLeast"/>
        </w:trPr>
        <w:tc>
          <w:tcPr>
            <w:tcW w:w="1803" w:type="dxa"/>
          </w:tcPr>
          <w:p>
            <w:pPr>
              <w:pStyle w:val="TableParagraph"/>
              <w:spacing w:line="248" w:lineRule="exact"/>
              <w:ind w:left="200"/>
              <w:rPr>
                <w:sz w:val="22"/>
              </w:rPr>
            </w:pPr>
            <w:r>
              <w:rPr>
                <w:sz w:val="22"/>
              </w:rPr>
              <w:t>VHF</w:t>
            </w:r>
          </w:p>
        </w:tc>
        <w:tc>
          <w:tcPr>
            <w:tcW w:w="6169" w:type="dxa"/>
          </w:tcPr>
          <w:p>
            <w:pPr>
              <w:pStyle w:val="TableParagraph"/>
              <w:spacing w:line="248" w:lineRule="exact"/>
              <w:ind w:left="744"/>
              <w:rPr>
                <w:sz w:val="22"/>
              </w:rPr>
            </w:pPr>
            <w:r>
              <w:rPr>
                <w:sz w:val="22"/>
              </w:rPr>
              <w:t>viral haemorrhagic fever</w:t>
            </w:r>
          </w:p>
        </w:tc>
      </w:tr>
      <w:tr>
        <w:trPr>
          <w:trHeight w:val="267" w:hRule="atLeast"/>
        </w:trPr>
        <w:tc>
          <w:tcPr>
            <w:tcW w:w="1803" w:type="dxa"/>
          </w:tcPr>
          <w:p>
            <w:pPr>
              <w:pStyle w:val="TableParagraph"/>
              <w:spacing w:line="247" w:lineRule="exact"/>
              <w:ind w:left="200"/>
              <w:rPr>
                <w:sz w:val="22"/>
              </w:rPr>
            </w:pPr>
            <w:r>
              <w:rPr>
                <w:sz w:val="22"/>
              </w:rPr>
              <w:t>WBC</w:t>
            </w:r>
          </w:p>
        </w:tc>
        <w:tc>
          <w:tcPr>
            <w:tcW w:w="6169" w:type="dxa"/>
          </w:tcPr>
          <w:p>
            <w:pPr>
              <w:pStyle w:val="TableParagraph"/>
              <w:spacing w:line="247" w:lineRule="exact"/>
              <w:ind w:left="744"/>
              <w:rPr>
                <w:sz w:val="22"/>
              </w:rPr>
            </w:pPr>
            <w:r>
              <w:rPr>
                <w:sz w:val="22"/>
              </w:rPr>
              <w:t>white blood cell count</w:t>
            </w:r>
          </w:p>
        </w:tc>
      </w:tr>
      <w:tr>
        <w:trPr>
          <w:trHeight w:val="244" w:hRule="atLeast"/>
        </w:trPr>
        <w:tc>
          <w:tcPr>
            <w:tcW w:w="1803" w:type="dxa"/>
          </w:tcPr>
          <w:p>
            <w:pPr>
              <w:pStyle w:val="TableParagraph"/>
              <w:spacing w:line="225" w:lineRule="exact"/>
              <w:ind w:left="200"/>
              <w:rPr>
                <w:sz w:val="22"/>
              </w:rPr>
            </w:pPr>
            <w:r>
              <w:rPr>
                <w:sz w:val="22"/>
              </w:rPr>
              <w:t>WHO</w:t>
            </w:r>
          </w:p>
        </w:tc>
        <w:tc>
          <w:tcPr>
            <w:tcW w:w="6169" w:type="dxa"/>
          </w:tcPr>
          <w:p>
            <w:pPr>
              <w:pStyle w:val="TableParagraph"/>
              <w:spacing w:line="225" w:lineRule="exact"/>
              <w:ind w:left="744"/>
              <w:rPr>
                <w:sz w:val="22"/>
              </w:rPr>
            </w:pPr>
            <w:r>
              <w:rPr>
                <w:sz w:val="22"/>
              </w:rPr>
              <w:t>World Health Organization</w:t>
            </w:r>
          </w:p>
        </w:tc>
      </w:tr>
    </w:tbl>
    <w:p>
      <w:pPr>
        <w:spacing w:after="0" w:line="225" w:lineRule="exact"/>
        <w:rPr>
          <w:sz w:val="22"/>
        </w:rPr>
        <w:sectPr>
          <w:pgSz w:w="11910" w:h="16840"/>
          <w:pgMar w:header="504" w:footer="1014" w:top="1580" w:bottom="1200" w:left="1220" w:right="1280"/>
        </w:sectPr>
      </w:pPr>
    </w:p>
    <w:p>
      <w:pPr>
        <w:pStyle w:val="BodyText"/>
        <w:spacing w:before="7"/>
        <w:rPr>
          <w:b/>
          <w:sz w:val="9"/>
        </w:rPr>
      </w:pPr>
    </w:p>
    <w:p>
      <w:pPr>
        <w:pStyle w:val="Heading1"/>
      </w:pPr>
      <w:bookmarkStart w:name="_bookmark1" w:id="2"/>
      <w:bookmarkEnd w:id="2"/>
      <w:r>
        <w:rPr>
          <w:b w:val="0"/>
        </w:rPr>
      </w:r>
      <w:r>
        <w:rPr/>
        <w:t>Preface</w:t>
      </w:r>
    </w:p>
    <w:p>
      <w:pPr>
        <w:pStyle w:val="Heading3"/>
        <w:spacing w:before="280"/>
        <w:jc w:val="left"/>
      </w:pPr>
      <w:r>
        <w:rPr/>
        <w:t>Introduction</w:t>
      </w:r>
    </w:p>
    <w:p>
      <w:pPr>
        <w:pStyle w:val="BodyText"/>
        <w:spacing w:line="259" w:lineRule="auto" w:before="182"/>
        <w:ind w:left="220" w:right="152"/>
        <w:jc w:val="both"/>
      </w:pPr>
      <w:r>
        <w:rPr/>
        <w:t>The World Health Organization (WHO) published the first edition of the Model List of Essential In Vitro Diagnostics (EDL) in May 2018, in recognition that IVDs are an essential component to advance universal health coverage, address health emergencies, and promote healthier populations, which are the three strategic priorities of the WHO Thirteenth General Programme of Work (2019–2023) (GPW). The EDL is also intended to complement the WHO Model List of Essential Medicines (EML) and enhance its impact.</w:t>
      </w:r>
    </w:p>
    <w:p>
      <w:pPr>
        <w:pStyle w:val="BodyText"/>
        <w:spacing w:before="10"/>
        <w:rPr>
          <w:sz w:val="25"/>
        </w:rPr>
      </w:pPr>
    </w:p>
    <w:p>
      <w:pPr>
        <w:pStyle w:val="Heading3"/>
        <w:jc w:val="left"/>
      </w:pPr>
      <w:r>
        <w:rPr/>
        <w:t>Objectives of the Model List of Essential In Vitro Diagnostics (EDL)</w:t>
      </w:r>
    </w:p>
    <w:p>
      <w:pPr>
        <w:pStyle w:val="BodyText"/>
        <w:spacing w:line="259" w:lineRule="auto" w:before="24"/>
        <w:ind w:left="220" w:right="152"/>
        <w:jc w:val="both"/>
      </w:pPr>
      <w:r>
        <w:rPr/>
        <w:t>The EDL outlines a group of IVDs that are recommended by WHO for use at various levels of a tiered national health care system. The EDL is not intended to be prescriptive with respect to the IVDs listed or the levels at which such IVDs can/should be used; rather country programmes should make the ultimate decisions about which IVDs are selected and where they are implemented, based on national or regional burden of disease, unmet needs and</w:t>
      </w:r>
      <w:r>
        <w:rPr>
          <w:spacing w:val="-11"/>
        </w:rPr>
        <w:t> </w:t>
      </w:r>
      <w:r>
        <w:rPr/>
        <w:t>priorities.</w:t>
      </w:r>
    </w:p>
    <w:p>
      <w:pPr>
        <w:pStyle w:val="BodyText"/>
        <w:spacing w:before="9"/>
        <w:rPr>
          <w:sz w:val="23"/>
        </w:rPr>
      </w:pPr>
    </w:p>
    <w:p>
      <w:pPr>
        <w:pStyle w:val="BodyText"/>
        <w:spacing w:line="259" w:lineRule="auto"/>
        <w:ind w:left="220" w:right="153"/>
        <w:jc w:val="both"/>
      </w:pPr>
      <w:r>
        <w:rPr>
          <w:color w:val="333333"/>
        </w:rPr>
        <w:t>It is expected that the EDL will provide guidance and serve as a reference to Member States </w:t>
      </w:r>
      <w:r>
        <w:rPr/>
        <w:t>(including ministries of health, programme managers, end users such as laboratory managers, procurement officers and reimbursement systems), who are </w:t>
      </w:r>
      <w:r>
        <w:rPr>
          <w:color w:val="333333"/>
        </w:rPr>
        <w:t>developing and/or updating lists of national essential IVDs for defining universal health coverage interventions, as well as selecting and implementing such IVDs</w:t>
      </w:r>
      <w:r>
        <w:rPr/>
        <w:t>. It will also inform United Nations agencies and nongovernmental organizations that support selection, procurement, supply, donations or provision of IVDs. Finally, it will inform and guide the medical technology private sector on IVD priorities and the IVDs needed to address global health issues.</w:t>
      </w:r>
    </w:p>
    <w:p>
      <w:pPr>
        <w:pStyle w:val="BodyText"/>
        <w:spacing w:before="5"/>
        <w:rPr>
          <w:sz w:val="23"/>
        </w:rPr>
      </w:pPr>
    </w:p>
    <w:p>
      <w:pPr>
        <w:pStyle w:val="BodyText"/>
        <w:spacing w:line="259" w:lineRule="auto" w:before="1"/>
        <w:ind w:left="220" w:right="152"/>
        <w:jc w:val="both"/>
      </w:pPr>
      <w:r>
        <w:rPr/>
        <w:t>While the EDL provides a list of important tests required at various levels of the health care system, it is important to note that the EDL itself cannot have an impact without an integrated, connected, tiered laboratory system, with adequate human resources, training, laboratory infrastructure, and regulatory/quality assurance systems. Impact also requires Member States to adopt and adapt the EDL and develop national and regional EDLs, as well as to implement the selection and supply mechanisms necessary to ensure access to the</w:t>
      </w:r>
      <w:r>
        <w:rPr>
          <w:spacing w:val="-3"/>
        </w:rPr>
        <w:t> </w:t>
      </w:r>
      <w:r>
        <w:rPr/>
        <w:t>IVDs.</w:t>
      </w:r>
    </w:p>
    <w:p>
      <w:pPr>
        <w:pStyle w:val="BodyText"/>
        <w:spacing w:before="10"/>
        <w:rPr>
          <w:sz w:val="23"/>
        </w:rPr>
      </w:pPr>
    </w:p>
    <w:p>
      <w:pPr>
        <w:pStyle w:val="Heading3"/>
        <w:jc w:val="left"/>
      </w:pPr>
      <w:r>
        <w:rPr/>
        <w:t>Scope of the first edition of the EDL</w:t>
      </w:r>
    </w:p>
    <w:p>
      <w:pPr>
        <w:pStyle w:val="BodyText"/>
        <w:spacing w:before="21"/>
        <w:ind w:left="220"/>
      </w:pPr>
      <w:r>
        <w:rPr/>
        <w:t>Based on the EDL selection criteria described below, the EDL consists:</w:t>
      </w:r>
    </w:p>
    <w:p>
      <w:pPr>
        <w:pStyle w:val="ListParagraph"/>
        <w:numPr>
          <w:ilvl w:val="0"/>
          <w:numId w:val="2"/>
        </w:numPr>
        <w:tabs>
          <w:tab w:pos="941" w:val="left" w:leader="none"/>
        </w:tabs>
        <w:spacing w:line="259" w:lineRule="auto" w:before="183" w:after="0"/>
        <w:ind w:left="940" w:right="152" w:hanging="360"/>
        <w:jc w:val="both"/>
        <w:rPr>
          <w:sz w:val="22"/>
        </w:rPr>
      </w:pPr>
      <w:r>
        <w:rPr>
          <w:sz w:val="22"/>
        </w:rPr>
        <w:t>A group of general laboratory tests that can be used for routine patient care as well as for the detection and diagnosis of a wide array of disease conditions – communicable and NCDs. These IVDs are grouped by test discipline (e.g. clinical chemistry, serology, haematology, microbiology and mycology) and specific test type (e.g. bilirubin, complete blood count, etc.).</w:t>
      </w:r>
    </w:p>
    <w:p>
      <w:pPr>
        <w:pStyle w:val="ListParagraph"/>
        <w:numPr>
          <w:ilvl w:val="0"/>
          <w:numId w:val="2"/>
        </w:numPr>
        <w:tabs>
          <w:tab w:pos="941" w:val="left" w:leader="none"/>
        </w:tabs>
        <w:spacing w:line="259" w:lineRule="auto" w:before="0" w:after="0"/>
        <w:ind w:left="940" w:right="156" w:hanging="360"/>
        <w:jc w:val="both"/>
        <w:rPr>
          <w:sz w:val="22"/>
        </w:rPr>
      </w:pPr>
      <w:r>
        <w:rPr>
          <w:sz w:val="22"/>
        </w:rPr>
        <w:t>IVDs designed for the detection, diagnosis and monitoring of each of the following WHO key disease areas: HIV, TB, malaria, HBV/HCV, and HPV and syphilis. These IVDs are grouped by disease area and analyte</w:t>
      </w:r>
      <w:r>
        <w:rPr>
          <w:spacing w:val="-2"/>
          <w:sz w:val="22"/>
        </w:rPr>
        <w:t> </w:t>
      </w:r>
      <w:r>
        <w:rPr>
          <w:sz w:val="22"/>
        </w:rPr>
        <w:t>tested.</w:t>
      </w:r>
    </w:p>
    <w:p>
      <w:pPr>
        <w:spacing w:after="0" w:line="259" w:lineRule="auto"/>
        <w:jc w:val="both"/>
        <w:rPr>
          <w:sz w:val="22"/>
        </w:rPr>
        <w:sectPr>
          <w:pgSz w:w="11910" w:h="16840"/>
          <w:pgMar w:header="504" w:footer="1014" w:top="1580" w:bottom="1200" w:left="1220" w:right="1280"/>
        </w:sectPr>
      </w:pPr>
    </w:p>
    <w:p>
      <w:pPr>
        <w:pStyle w:val="BodyText"/>
        <w:spacing w:line="259" w:lineRule="auto" w:before="151"/>
        <w:ind w:left="220" w:right="153"/>
        <w:jc w:val="both"/>
      </w:pPr>
      <w:r>
        <w:rPr/>
        <w:t>The EDL does </w:t>
      </w:r>
      <w:r>
        <w:rPr>
          <w:i/>
        </w:rPr>
        <w:t>not </w:t>
      </w:r>
      <w:r>
        <w:rPr/>
        <w:t>list specific test brands, but rather consists of IVDs described according to their biological targets. Where specific products in categories of tests contained in the EDL have been prequalified by WHO or are recommended by a WHO disease programme, a link is provided to that information, which is updated regularly.</w:t>
      </w:r>
    </w:p>
    <w:p>
      <w:pPr>
        <w:pStyle w:val="BodyText"/>
        <w:spacing w:before="8"/>
        <w:rPr>
          <w:sz w:val="23"/>
        </w:rPr>
      </w:pPr>
    </w:p>
    <w:p>
      <w:pPr>
        <w:pStyle w:val="Heading3"/>
      </w:pPr>
      <w:r>
        <w:rPr/>
        <w:t>EDL content and format</w:t>
      </w:r>
    </w:p>
    <w:p>
      <w:pPr>
        <w:pStyle w:val="BodyText"/>
        <w:spacing w:before="24"/>
        <w:ind w:left="220"/>
        <w:jc w:val="both"/>
      </w:pPr>
      <w:r>
        <w:rPr/>
        <w:t>For each specific test listed in the first edition of the EDL, the following are described:</w:t>
      </w:r>
    </w:p>
    <w:p>
      <w:pPr>
        <w:pStyle w:val="ListParagraph"/>
        <w:numPr>
          <w:ilvl w:val="0"/>
          <w:numId w:val="2"/>
        </w:numPr>
        <w:tabs>
          <w:tab w:pos="940" w:val="left" w:leader="none"/>
          <w:tab w:pos="941" w:val="left" w:leader="none"/>
          <w:tab w:pos="3820" w:val="left" w:leader="none"/>
        </w:tabs>
        <w:spacing w:line="240" w:lineRule="auto" w:before="181" w:after="0"/>
        <w:ind w:left="940" w:right="0" w:hanging="360"/>
        <w:jc w:val="left"/>
        <w:rPr>
          <w:sz w:val="22"/>
        </w:rPr>
      </w:pPr>
      <w:r>
        <w:rPr>
          <w:sz w:val="22"/>
        </w:rPr>
        <w:t>Test</w:t>
      </w:r>
      <w:r>
        <w:rPr>
          <w:spacing w:val="-1"/>
          <w:sz w:val="22"/>
        </w:rPr>
        <w:t> </w:t>
      </w:r>
      <w:r>
        <w:rPr>
          <w:sz w:val="22"/>
        </w:rPr>
        <w:t>purpose:</w:t>
        <w:tab/>
        <w:t>Purpose for which the test can be</w:t>
      </w:r>
      <w:r>
        <w:rPr>
          <w:spacing w:val="-9"/>
          <w:sz w:val="22"/>
        </w:rPr>
        <w:t> </w:t>
      </w:r>
      <w:r>
        <w:rPr>
          <w:sz w:val="22"/>
        </w:rPr>
        <w:t>utilized.</w:t>
      </w:r>
    </w:p>
    <w:p>
      <w:pPr>
        <w:pStyle w:val="ListParagraph"/>
        <w:numPr>
          <w:ilvl w:val="0"/>
          <w:numId w:val="2"/>
        </w:numPr>
        <w:tabs>
          <w:tab w:pos="940" w:val="left" w:leader="none"/>
          <w:tab w:pos="941" w:val="left" w:leader="none"/>
          <w:tab w:pos="3820" w:val="left" w:leader="none"/>
        </w:tabs>
        <w:spacing w:line="240" w:lineRule="auto" w:before="22" w:after="0"/>
        <w:ind w:left="940" w:right="0" w:hanging="360"/>
        <w:jc w:val="left"/>
        <w:rPr>
          <w:sz w:val="22"/>
        </w:rPr>
      </w:pPr>
      <w:r>
        <w:rPr>
          <w:sz w:val="22"/>
        </w:rPr>
        <w:t>Assay format:</w:t>
        <w:tab/>
        <w:t>The assay format or formats in which the test is</w:t>
      </w:r>
      <w:r>
        <w:rPr>
          <w:spacing w:val="-12"/>
          <w:sz w:val="22"/>
        </w:rPr>
        <w:t> </w:t>
      </w:r>
      <w:r>
        <w:rPr>
          <w:sz w:val="22"/>
        </w:rPr>
        <w:t>generally</w:t>
      </w:r>
    </w:p>
    <w:p>
      <w:pPr>
        <w:pStyle w:val="BodyText"/>
        <w:spacing w:before="20"/>
        <w:ind w:left="3821"/>
      </w:pPr>
      <w:r>
        <w:rPr/>
        <w:t>available, e.g. enzyme immunoassay, nucleic acid</w:t>
      </w:r>
      <w:r>
        <w:rPr>
          <w:spacing w:val="-11"/>
        </w:rPr>
        <w:t> </w:t>
      </w:r>
      <w:r>
        <w:rPr/>
        <w:t>testing.</w:t>
      </w:r>
    </w:p>
    <w:p>
      <w:pPr>
        <w:pStyle w:val="ListParagraph"/>
        <w:numPr>
          <w:ilvl w:val="0"/>
          <w:numId w:val="2"/>
        </w:numPr>
        <w:tabs>
          <w:tab w:pos="940" w:val="left" w:leader="none"/>
          <w:tab w:pos="941" w:val="left" w:leader="none"/>
          <w:tab w:pos="3820" w:val="left" w:leader="none"/>
        </w:tabs>
        <w:spacing w:line="240" w:lineRule="auto" w:before="22" w:after="0"/>
        <w:ind w:left="940" w:right="0" w:hanging="360"/>
        <w:jc w:val="left"/>
        <w:rPr>
          <w:sz w:val="22"/>
        </w:rPr>
      </w:pPr>
      <w:r>
        <w:rPr>
          <w:sz w:val="22"/>
        </w:rPr>
        <w:t>Specimen</w:t>
      </w:r>
      <w:r>
        <w:rPr>
          <w:spacing w:val="-4"/>
          <w:sz w:val="22"/>
        </w:rPr>
        <w:t> </w:t>
      </w:r>
      <w:r>
        <w:rPr>
          <w:sz w:val="22"/>
        </w:rPr>
        <w:t>type:</w:t>
        <w:tab/>
        <w:t>The types of specimens that can be used for the</w:t>
      </w:r>
      <w:r>
        <w:rPr>
          <w:spacing w:val="-5"/>
          <w:sz w:val="22"/>
        </w:rPr>
        <w:t> </w:t>
      </w:r>
      <w:r>
        <w:rPr>
          <w:sz w:val="22"/>
        </w:rPr>
        <w:t>test.</w:t>
      </w:r>
    </w:p>
    <w:p>
      <w:pPr>
        <w:pStyle w:val="ListParagraph"/>
        <w:numPr>
          <w:ilvl w:val="0"/>
          <w:numId w:val="2"/>
        </w:numPr>
        <w:tabs>
          <w:tab w:pos="940" w:val="left" w:leader="none"/>
          <w:tab w:pos="941" w:val="left" w:leader="none"/>
          <w:tab w:pos="3820" w:val="left" w:leader="none"/>
        </w:tabs>
        <w:spacing w:line="259" w:lineRule="auto" w:before="22" w:after="0"/>
        <w:ind w:left="3821" w:right="226" w:hanging="3241"/>
        <w:jc w:val="left"/>
        <w:rPr>
          <w:sz w:val="22"/>
        </w:rPr>
      </w:pPr>
      <w:r>
        <w:rPr>
          <w:sz w:val="22"/>
        </w:rPr>
        <w:t>Facility</w:t>
      </w:r>
      <w:r>
        <w:rPr>
          <w:spacing w:val="1"/>
          <w:sz w:val="22"/>
        </w:rPr>
        <w:t> </w:t>
      </w:r>
      <w:r>
        <w:rPr>
          <w:sz w:val="22"/>
        </w:rPr>
        <w:t>level:</w:t>
        <w:tab/>
        <w:t>The level of the tiered health care delivery system for which the test is suggested, as described</w:t>
      </w:r>
      <w:r>
        <w:rPr>
          <w:spacing w:val="-6"/>
          <w:sz w:val="22"/>
        </w:rPr>
        <w:t> </w:t>
      </w:r>
      <w:r>
        <w:rPr>
          <w:sz w:val="22"/>
        </w:rPr>
        <w:t>below.</w:t>
      </w:r>
    </w:p>
    <w:p>
      <w:pPr>
        <w:pStyle w:val="ListParagraph"/>
        <w:numPr>
          <w:ilvl w:val="0"/>
          <w:numId w:val="2"/>
        </w:numPr>
        <w:tabs>
          <w:tab w:pos="940" w:val="left" w:leader="none"/>
          <w:tab w:pos="941" w:val="left" w:leader="none"/>
          <w:tab w:pos="3820" w:val="left" w:leader="none"/>
        </w:tabs>
        <w:spacing w:line="279" w:lineRule="exact" w:before="0" w:after="0"/>
        <w:ind w:left="940" w:right="0" w:hanging="360"/>
        <w:jc w:val="left"/>
        <w:rPr>
          <w:sz w:val="22"/>
        </w:rPr>
      </w:pPr>
      <w:r>
        <w:rPr>
          <w:sz w:val="22"/>
        </w:rPr>
        <w:t>Link to</w:t>
      </w:r>
      <w:r>
        <w:rPr>
          <w:spacing w:val="-1"/>
          <w:sz w:val="22"/>
        </w:rPr>
        <w:t> </w:t>
      </w:r>
      <w:r>
        <w:rPr>
          <w:sz w:val="22"/>
        </w:rPr>
        <w:t>WHO</w:t>
      </w:r>
      <w:r>
        <w:rPr>
          <w:spacing w:val="1"/>
          <w:sz w:val="22"/>
        </w:rPr>
        <w:t> </w:t>
      </w:r>
      <w:r>
        <w:rPr>
          <w:sz w:val="22"/>
        </w:rPr>
        <w:t>guidance:</w:t>
        <w:tab/>
        <w:t>If there is existing WHO guidance available on the test</w:t>
      </w:r>
      <w:r>
        <w:rPr>
          <w:spacing w:val="-14"/>
          <w:sz w:val="22"/>
        </w:rPr>
        <w:t> </w:t>
      </w:r>
      <w:r>
        <w:rPr>
          <w:sz w:val="22"/>
        </w:rPr>
        <w:t>or</w:t>
      </w:r>
    </w:p>
    <w:p>
      <w:pPr>
        <w:pStyle w:val="BodyText"/>
        <w:spacing w:line="259" w:lineRule="auto" w:before="22"/>
        <w:ind w:left="3821" w:right="587"/>
      </w:pPr>
      <w:r>
        <w:rPr/>
        <w:t>category of testing, a link is provided to the appropriate location on the WHO website.</w:t>
      </w:r>
    </w:p>
    <w:p>
      <w:pPr>
        <w:pStyle w:val="ListParagraph"/>
        <w:numPr>
          <w:ilvl w:val="0"/>
          <w:numId w:val="2"/>
        </w:numPr>
        <w:tabs>
          <w:tab w:pos="940" w:val="left" w:leader="none"/>
          <w:tab w:pos="941" w:val="left" w:leader="none"/>
        </w:tabs>
        <w:spacing w:line="279" w:lineRule="exact" w:before="0" w:after="0"/>
        <w:ind w:left="940" w:right="0" w:hanging="360"/>
        <w:jc w:val="left"/>
        <w:rPr>
          <w:sz w:val="22"/>
        </w:rPr>
      </w:pPr>
      <w:r>
        <w:rPr>
          <w:sz w:val="22"/>
        </w:rPr>
        <w:t>WHO PQ or endorsed products: For each specific test for which there are brands of</w:t>
      </w:r>
      <w:r>
        <w:rPr>
          <w:spacing w:val="-16"/>
          <w:sz w:val="22"/>
        </w:rPr>
        <w:t> </w:t>
      </w:r>
      <w:r>
        <w:rPr>
          <w:sz w:val="22"/>
        </w:rPr>
        <w:t>products</w:t>
      </w:r>
    </w:p>
    <w:p>
      <w:pPr>
        <w:pStyle w:val="BodyText"/>
        <w:spacing w:line="259" w:lineRule="auto" w:before="22"/>
        <w:ind w:left="3821" w:right="179"/>
      </w:pPr>
      <w:r>
        <w:rPr/>
        <w:t>either prequalified by WHO or otherwise endorsed by WHO, a link is provided.</w:t>
      </w:r>
    </w:p>
    <w:p>
      <w:pPr>
        <w:pStyle w:val="BodyText"/>
        <w:spacing w:line="403" w:lineRule="auto" w:before="159"/>
        <w:ind w:left="1300" w:right="3759" w:hanging="1080"/>
      </w:pPr>
      <w:r>
        <w:rPr/>
        <w:t>The EDL is presented by health care facility level in two tiers: I IVDs for Primary health care;</w:t>
      </w:r>
    </w:p>
    <w:p>
      <w:pPr>
        <w:pStyle w:val="BodyText"/>
        <w:spacing w:line="267" w:lineRule="exact"/>
        <w:ind w:left="1300"/>
      </w:pPr>
      <w:r>
        <w:rPr/>
        <w:t>II IVDs for Health care facilities with clinical laboratories.</w:t>
      </w:r>
    </w:p>
    <w:p>
      <w:pPr>
        <w:pStyle w:val="BodyText"/>
      </w:pPr>
    </w:p>
    <w:p>
      <w:pPr>
        <w:pStyle w:val="BodyText"/>
        <w:spacing w:before="9"/>
        <w:rPr>
          <w:sz w:val="29"/>
        </w:rPr>
      </w:pPr>
    </w:p>
    <w:p>
      <w:pPr>
        <w:pStyle w:val="Heading3"/>
      </w:pPr>
      <w:r>
        <w:rPr/>
        <w:t>Recommended use of the EDL</w:t>
      </w:r>
    </w:p>
    <w:p>
      <w:pPr>
        <w:pStyle w:val="BodyText"/>
        <w:spacing w:line="259" w:lineRule="auto" w:before="182"/>
        <w:ind w:left="220" w:right="154"/>
        <w:jc w:val="both"/>
      </w:pPr>
      <w:r>
        <w:rPr/>
        <w:t>In order to effectively use the EDL and adapt it to national needs, WHO recognizes that Member States will need to consider a variety of factors. These include, among others: local demographics and burden of disease; local disease elimination priorities; local availability of treatments; training and experience of available personnel; local unmet needs and testing gaps; supply chain and transport links; quality assurance capacity; financial resources; information technology capabilities; and environmental</w:t>
      </w:r>
      <w:r>
        <w:rPr>
          <w:spacing w:val="-2"/>
        </w:rPr>
        <w:t> </w:t>
      </w:r>
      <w:r>
        <w:rPr/>
        <w:t>factors.</w:t>
      </w:r>
    </w:p>
    <w:p>
      <w:pPr>
        <w:pStyle w:val="BodyText"/>
        <w:spacing w:line="259" w:lineRule="auto" w:before="161"/>
        <w:ind w:left="220" w:right="152"/>
        <w:jc w:val="both"/>
      </w:pPr>
      <w:r>
        <w:rPr/>
        <w:t>To that end, information that supports the selection and use of IVDs on the EDL, such as relevant WHO clinical guidelines, selected systematic reviews, key references, lists of prequalified IVDs and IVDs recommended by WHO disease control departments, as well as other relevant resources on quality assurance, basic techniques, procurement and maintenance guidance, will be collated and maintained on the WHO website on an IVD-specific webpage linked to the EDL.</w:t>
      </w:r>
    </w:p>
    <w:p>
      <w:pPr>
        <w:pStyle w:val="BodyText"/>
        <w:spacing w:line="259" w:lineRule="auto" w:before="158"/>
        <w:ind w:left="220" w:right="152"/>
        <w:jc w:val="both"/>
      </w:pPr>
      <w:r>
        <w:rPr/>
        <w:t>The EDL should not be used in isolation, but in the context of the scope of testing services that meet the clinical needs and expectations in each country through their own particular laboratory networks. An illustrative example of a tiered health care delivery and laboratory network in resource-limited countries is set out in Figure 1. The pyramid of testing reflects that there are generally a large number of primary care facilities and that they serve most patients directly for primary care needs. As one goes up the levels of the system, there are a smaller number</w:t>
      </w:r>
      <w:r>
        <w:rPr>
          <w:spacing w:val="35"/>
        </w:rPr>
        <w:t> </w:t>
      </w:r>
      <w:r>
        <w:rPr/>
        <w:t>of</w:t>
      </w:r>
    </w:p>
    <w:p>
      <w:pPr>
        <w:spacing w:after="0" w:line="259" w:lineRule="auto"/>
        <w:jc w:val="both"/>
        <w:sectPr>
          <w:pgSz w:w="11910" w:h="16840"/>
          <w:pgMar w:header="504" w:footer="1014" w:top="1580" w:bottom="1200" w:left="1220" w:right="1280"/>
        </w:sectPr>
      </w:pPr>
    </w:p>
    <w:p>
      <w:pPr>
        <w:pStyle w:val="BodyText"/>
        <w:spacing w:line="259" w:lineRule="auto" w:before="151"/>
        <w:ind w:left="220" w:right="153"/>
        <w:jc w:val="both"/>
      </w:pPr>
      <w:r>
        <w:rPr/>
        <w:t>centralized facilities serving fewer patients directly. In the case of national reference laboratories and some provincial laboratories, they may not serve patients directly or they may offer a broad set of specialist consultative services, and act more as referral centres for quality assurance and training or for conducting complex tests (either using samples drawn at facilities lower in the system and transported or by receiving patients referred directly from other</w:t>
      </w:r>
      <w:r>
        <w:rPr>
          <w:spacing w:val="-11"/>
        </w:rPr>
        <w:t> </w:t>
      </w:r>
      <w:r>
        <w:rPr/>
        <w:t>facilities).</w:t>
      </w:r>
    </w:p>
    <w:p>
      <w:pPr>
        <w:pStyle w:val="BodyText"/>
        <w:rPr>
          <w:sz w:val="20"/>
        </w:rPr>
      </w:pPr>
    </w:p>
    <w:p>
      <w:pPr>
        <w:pStyle w:val="BodyText"/>
        <w:spacing w:before="11"/>
        <w:rPr>
          <w:sz w:val="26"/>
        </w:rPr>
      </w:pPr>
      <w:r>
        <w:rPr/>
        <w:drawing>
          <wp:anchor distT="0" distB="0" distL="0" distR="0" allowOverlap="1" layoutInCell="1" locked="0" behindDoc="0" simplePos="0" relativeHeight="0">
            <wp:simplePos x="0" y="0"/>
            <wp:positionH relativeFrom="page">
              <wp:posOffset>914400</wp:posOffset>
            </wp:positionH>
            <wp:positionV relativeFrom="paragraph">
              <wp:posOffset>233593</wp:posOffset>
            </wp:positionV>
            <wp:extent cx="5327427" cy="2659189"/>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5327427" cy="2659189"/>
                    </a:xfrm>
                    <a:prstGeom prst="rect">
                      <a:avLst/>
                    </a:prstGeom>
                  </pic:spPr>
                </pic:pic>
              </a:graphicData>
            </a:graphic>
          </wp:anchor>
        </w:drawing>
      </w:r>
    </w:p>
    <w:p>
      <w:pPr>
        <w:pStyle w:val="BodyText"/>
        <w:spacing w:line="259" w:lineRule="auto" w:before="135"/>
        <w:ind w:left="220" w:right="154"/>
        <w:jc w:val="both"/>
      </w:pPr>
      <w:r>
        <w:rPr/>
        <w:t>Figure 1. The types of testing that are appropriate at each tier will be country-specific and will include, among others, factors such as access to electricity, reagent grade water, phlebotomy and specialized human resources.</w:t>
      </w:r>
      <w:r>
        <w:rPr>
          <w:vertAlign w:val="superscript"/>
        </w:rPr>
        <w:t>1</w:t>
      </w:r>
    </w:p>
    <w:p>
      <w:pPr>
        <w:pStyle w:val="BodyText"/>
        <w:spacing w:before="8"/>
        <w:rPr>
          <w:sz w:val="23"/>
        </w:rPr>
      </w:pPr>
    </w:p>
    <w:p>
      <w:pPr>
        <w:pStyle w:val="BodyText"/>
        <w:spacing w:line="259" w:lineRule="auto"/>
        <w:ind w:left="220" w:right="153"/>
        <w:jc w:val="both"/>
      </w:pPr>
      <w:r>
        <w:rPr/>
        <w:t>For purposes of the first edition of the EDL and to simplify its presentation and use, IVDs are listed for</w:t>
      </w:r>
      <w:r>
        <w:rPr>
          <w:spacing w:val="10"/>
        </w:rPr>
        <w:t> </w:t>
      </w:r>
      <w:r>
        <w:rPr/>
        <w:t>two</w:t>
      </w:r>
      <w:r>
        <w:rPr>
          <w:spacing w:val="10"/>
        </w:rPr>
        <w:t> </w:t>
      </w:r>
      <w:r>
        <w:rPr/>
        <w:t>tiers:</w:t>
      </w:r>
      <w:r>
        <w:rPr>
          <w:spacing w:val="13"/>
        </w:rPr>
        <w:t> </w:t>
      </w:r>
      <w:r>
        <w:rPr/>
        <w:t>primary</w:t>
      </w:r>
      <w:r>
        <w:rPr>
          <w:spacing w:val="11"/>
        </w:rPr>
        <w:t> </w:t>
      </w:r>
      <w:r>
        <w:rPr/>
        <w:t>care</w:t>
      </w:r>
      <w:r>
        <w:rPr>
          <w:spacing w:val="9"/>
        </w:rPr>
        <w:t> </w:t>
      </w:r>
      <w:r>
        <w:rPr/>
        <w:t>settings</w:t>
      </w:r>
      <w:r>
        <w:rPr>
          <w:spacing w:val="9"/>
        </w:rPr>
        <w:t> </w:t>
      </w:r>
      <w:r>
        <w:rPr/>
        <w:t>where</w:t>
      </w:r>
      <w:r>
        <w:rPr>
          <w:spacing w:val="14"/>
        </w:rPr>
        <w:t> </w:t>
      </w:r>
      <w:r>
        <w:rPr/>
        <w:t>no</w:t>
      </w:r>
      <w:r>
        <w:rPr>
          <w:spacing w:val="10"/>
        </w:rPr>
        <w:t> </w:t>
      </w:r>
      <w:r>
        <w:rPr/>
        <w:t>or</w:t>
      </w:r>
      <w:r>
        <w:rPr>
          <w:spacing w:val="9"/>
        </w:rPr>
        <w:t> </w:t>
      </w:r>
      <w:r>
        <w:rPr/>
        <w:t>minimal</w:t>
      </w:r>
      <w:r>
        <w:rPr>
          <w:spacing w:val="11"/>
        </w:rPr>
        <w:t> </w:t>
      </w:r>
      <w:r>
        <w:rPr/>
        <w:t>laboratories</w:t>
      </w:r>
      <w:r>
        <w:rPr>
          <w:spacing w:val="11"/>
        </w:rPr>
        <w:t> </w:t>
      </w:r>
      <w:r>
        <w:rPr/>
        <w:t>are</w:t>
      </w:r>
      <w:r>
        <w:rPr>
          <w:spacing w:val="12"/>
        </w:rPr>
        <w:t> </w:t>
      </w:r>
      <w:r>
        <w:rPr/>
        <w:t>available</w:t>
      </w:r>
      <w:r>
        <w:rPr>
          <w:spacing w:val="11"/>
        </w:rPr>
        <w:t> </w:t>
      </w:r>
      <w:r>
        <w:rPr/>
        <w:t>(Level</w:t>
      </w:r>
      <w:r>
        <w:rPr>
          <w:spacing w:val="11"/>
        </w:rPr>
        <w:t> </w:t>
      </w:r>
      <w:r>
        <w:rPr/>
        <w:t>I</w:t>
      </w:r>
      <w:r>
        <w:rPr>
          <w:spacing w:val="10"/>
        </w:rPr>
        <w:t> </w:t>
      </w:r>
      <w:r>
        <w:rPr/>
        <w:t>in</w:t>
      </w:r>
      <w:r>
        <w:rPr>
          <w:spacing w:val="12"/>
        </w:rPr>
        <w:t> </w:t>
      </w:r>
      <w:r>
        <w:rPr/>
        <w:t>Figure</w:t>
      </w:r>
    </w:p>
    <w:p>
      <w:pPr>
        <w:pStyle w:val="ListParagraph"/>
        <w:numPr>
          <w:ilvl w:val="0"/>
          <w:numId w:val="3"/>
        </w:numPr>
        <w:tabs>
          <w:tab w:pos="449" w:val="left" w:leader="none"/>
        </w:tabs>
        <w:spacing w:line="240" w:lineRule="auto" w:before="1" w:after="0"/>
        <w:ind w:left="448" w:right="0" w:hanging="228"/>
        <w:jc w:val="left"/>
        <w:rPr>
          <w:sz w:val="22"/>
        </w:rPr>
      </w:pPr>
      <w:r>
        <w:rPr>
          <w:sz w:val="22"/>
        </w:rPr>
        <w:t>or for laboratory-based facilities (Levels II, III, and IV in Figure</w:t>
      </w:r>
      <w:r>
        <w:rPr>
          <w:spacing w:val="-7"/>
          <w:sz w:val="22"/>
        </w:rPr>
        <w:t> </w:t>
      </w:r>
      <w:r>
        <w:rPr>
          <w:sz w:val="22"/>
        </w:rPr>
        <w:t>1).</w:t>
      </w:r>
    </w:p>
    <w:p>
      <w:pPr>
        <w:pStyle w:val="BodyText"/>
      </w:pPr>
    </w:p>
    <w:p>
      <w:pPr>
        <w:pStyle w:val="BodyText"/>
        <w:spacing w:before="8"/>
        <w:rPr>
          <w:sz w:val="18"/>
        </w:rPr>
      </w:pPr>
    </w:p>
    <w:p>
      <w:pPr>
        <w:pStyle w:val="Heading3"/>
        <w:jc w:val="left"/>
      </w:pPr>
      <w:r>
        <w:rPr/>
        <w:t>Process of development of the first edition of the EDL</w:t>
      </w:r>
    </w:p>
    <w:p>
      <w:pPr>
        <w:pStyle w:val="BodyText"/>
        <w:spacing w:line="276" w:lineRule="auto" w:before="186"/>
        <w:ind w:left="220" w:right="153"/>
        <w:jc w:val="both"/>
      </w:pPr>
      <w:r>
        <w:rPr/>
        <w:t>In March 2017, the WHO Expert Committee on Selection and Use of Essential Medicines recommended that an EDL be developed. In support of that recommendation, WHO created an EDL Secretariat, which drafted the first edition of the EDL in consultation with colleagues in the various WHO disease programmes. It was then posted online for open consultation. WHO also created a Strategic Advisory Group of Experts on In Vitro Diagnostics (SAGE-IVD) to support the development of the EDL and to advise on other IVD policies and initiatives. SAGE-IVD held its first meeting from 16–20 April 2018 at WHO headquarters, Geneva, where it made recommendations for the content, format and implementation of the first edition of the EDL, as well as its processes moving</w:t>
      </w:r>
      <w:r>
        <w:rPr>
          <w:spacing w:val="-27"/>
        </w:rPr>
        <w:t> </w:t>
      </w:r>
      <w:r>
        <w:rPr/>
        <w:t>forward.</w:t>
      </w:r>
    </w:p>
    <w:p>
      <w:pPr>
        <w:pStyle w:val="BodyText"/>
        <w:spacing w:before="8"/>
        <w:rPr>
          <w:sz w:val="23"/>
        </w:rPr>
      </w:pPr>
    </w:p>
    <w:p>
      <w:pPr>
        <w:pStyle w:val="Heading3"/>
      </w:pPr>
      <w:r>
        <w:rPr/>
        <w:t>Selection of IVDs for inclusion in the first edition of the EDL</w:t>
      </w:r>
    </w:p>
    <w:p>
      <w:pPr>
        <w:pStyle w:val="BodyText"/>
        <w:spacing w:before="22"/>
        <w:ind w:left="220"/>
        <w:jc w:val="both"/>
      </w:pPr>
      <w:r>
        <w:rPr/>
        <w:t>The selection of the diagnostics tests for the EDL took into account the following priorities:</w:t>
      </w:r>
    </w:p>
    <w:p>
      <w:pPr>
        <w:pStyle w:val="BodyText"/>
        <w:spacing w:before="9"/>
        <w:rPr>
          <w:sz w:val="21"/>
        </w:rPr>
      </w:pPr>
      <w:r>
        <w:rPr/>
        <w:pict>
          <v:line style="position:absolute;mso-position-horizontal-relative:page;mso-position-vertical-relative:paragraph;z-index:-1000;mso-wrap-distance-left:0;mso-wrap-distance-right:0" from="72.024002pt,15.657485pt" to="216.044002pt,15.657485pt" stroked="true" strokeweight=".72003pt" strokecolor="#000000">
            <v:stroke dashstyle="solid"/>
            <w10:wrap type="topAndBottom"/>
          </v:line>
        </w:pict>
      </w:r>
    </w:p>
    <w:p>
      <w:pPr>
        <w:spacing w:before="39"/>
        <w:ind w:left="220" w:right="422" w:firstLine="0"/>
        <w:jc w:val="left"/>
        <w:rPr>
          <w:sz w:val="20"/>
        </w:rPr>
      </w:pPr>
      <w:r>
        <w:rPr>
          <w:position w:val="10"/>
          <w:sz w:val="13"/>
        </w:rPr>
        <w:t>1 </w:t>
      </w:r>
      <w:r>
        <w:rPr>
          <w:sz w:val="20"/>
        </w:rPr>
        <w:t>Adapted from: WHO (2017). Guidance for procurement of in vitro diagnostics and related laboratory items and equipment (</w:t>
      </w:r>
      <w:hyperlink r:id="rId9">
        <w:r>
          <w:rPr>
            <w:color w:val="0462C1"/>
            <w:sz w:val="20"/>
            <w:u w:val="single" w:color="0462C1"/>
          </w:rPr>
          <w:t>http://www.who.int/diagnostics_laboratory/publications/procurement/en/</w:t>
        </w:r>
      </w:hyperlink>
      <w:r>
        <w:rPr>
          <w:sz w:val="20"/>
        </w:rPr>
        <w:t>).</w:t>
      </w:r>
    </w:p>
    <w:p>
      <w:pPr>
        <w:spacing w:after="0"/>
        <w:jc w:val="left"/>
        <w:rPr>
          <w:sz w:val="20"/>
        </w:rPr>
        <w:sectPr>
          <w:pgSz w:w="11910" w:h="16840"/>
          <w:pgMar w:header="504" w:footer="1014" w:top="1580" w:bottom="1200" w:left="1220" w:right="1280"/>
        </w:sectPr>
      </w:pPr>
    </w:p>
    <w:p>
      <w:pPr>
        <w:pStyle w:val="ListParagraph"/>
        <w:numPr>
          <w:ilvl w:val="1"/>
          <w:numId w:val="3"/>
        </w:numPr>
        <w:tabs>
          <w:tab w:pos="941" w:val="left" w:leader="none"/>
        </w:tabs>
        <w:spacing w:line="240" w:lineRule="auto" w:before="151" w:after="0"/>
        <w:ind w:left="940" w:right="158" w:hanging="360"/>
        <w:jc w:val="both"/>
        <w:rPr>
          <w:sz w:val="22"/>
        </w:rPr>
      </w:pPr>
      <w:r>
        <w:rPr>
          <w:sz w:val="22"/>
        </w:rPr>
        <w:t>IVDs for primary care settings, providing an essential diagnostics package that can form the basis for screening and case management of patients at entry-level health care</w:t>
      </w:r>
      <w:r>
        <w:rPr>
          <w:spacing w:val="-14"/>
          <w:sz w:val="22"/>
        </w:rPr>
        <w:t> </w:t>
      </w:r>
      <w:r>
        <w:rPr>
          <w:sz w:val="22"/>
        </w:rPr>
        <w:t>facilities.</w:t>
      </w:r>
    </w:p>
    <w:p>
      <w:pPr>
        <w:pStyle w:val="ListParagraph"/>
        <w:numPr>
          <w:ilvl w:val="1"/>
          <w:numId w:val="3"/>
        </w:numPr>
        <w:tabs>
          <w:tab w:pos="941" w:val="left" w:leader="none"/>
        </w:tabs>
        <w:spacing w:line="240" w:lineRule="auto" w:before="1" w:after="0"/>
        <w:ind w:left="940" w:right="152" w:hanging="360"/>
        <w:jc w:val="both"/>
        <w:rPr>
          <w:sz w:val="22"/>
        </w:rPr>
      </w:pPr>
      <w:r>
        <w:rPr>
          <w:sz w:val="22"/>
        </w:rPr>
        <w:t>Public health approach, providing information on access to affordable, quality-assured IVDs, targeting high burden diseases, both communicable diseases and NCDs, and diseases of public health</w:t>
      </w:r>
      <w:r>
        <w:rPr>
          <w:spacing w:val="-1"/>
          <w:sz w:val="22"/>
        </w:rPr>
        <w:t> </w:t>
      </w:r>
      <w:r>
        <w:rPr>
          <w:sz w:val="22"/>
        </w:rPr>
        <w:t>importance.</w:t>
      </w:r>
    </w:p>
    <w:p>
      <w:pPr>
        <w:pStyle w:val="ListParagraph"/>
        <w:numPr>
          <w:ilvl w:val="1"/>
          <w:numId w:val="3"/>
        </w:numPr>
        <w:tabs>
          <w:tab w:pos="941" w:val="left" w:leader="none"/>
        </w:tabs>
        <w:spacing w:line="237" w:lineRule="auto" w:before="3" w:after="0"/>
        <w:ind w:left="940" w:right="155" w:hanging="360"/>
        <w:jc w:val="both"/>
        <w:rPr>
          <w:sz w:val="22"/>
        </w:rPr>
      </w:pPr>
      <w:r>
        <w:rPr>
          <w:sz w:val="22"/>
        </w:rPr>
        <w:t>IVDs for priority diseases such as HIV, TB, malaria, hepatitis HBV/HCV, and HPV and syphilis infections.</w:t>
      </w:r>
    </w:p>
    <w:p>
      <w:pPr>
        <w:pStyle w:val="BodyText"/>
        <w:spacing w:before="1"/>
      </w:pPr>
    </w:p>
    <w:p>
      <w:pPr>
        <w:pStyle w:val="BodyText"/>
        <w:ind w:left="220" w:right="151"/>
        <w:jc w:val="both"/>
      </w:pPr>
      <w:r>
        <w:rPr/>
        <w:t>Specifically, the general laboratory diagnostics in the first edition of the EDL were compiled based on existing WHO guidance, guidelines and technical manuals and priority medical devices lists, which are referenced at the end of the</w:t>
      </w:r>
      <w:r>
        <w:rPr>
          <w:spacing w:val="-7"/>
        </w:rPr>
        <w:t> </w:t>
      </w:r>
      <w:r>
        <w:rPr/>
        <w:t>list.</w:t>
      </w:r>
    </w:p>
    <w:p>
      <w:pPr>
        <w:pStyle w:val="BodyText"/>
        <w:spacing w:before="2"/>
      </w:pPr>
    </w:p>
    <w:p>
      <w:pPr>
        <w:pStyle w:val="BodyText"/>
        <w:spacing w:line="259" w:lineRule="auto"/>
        <w:ind w:left="220" w:right="152"/>
        <w:jc w:val="both"/>
      </w:pPr>
      <w:r>
        <w:rPr/>
        <w:t>The disease-specific IVDs were selected from WHO evidence-based guidelines, which are referred to in the EDL with links to the respective documents. An additional factor considered by WHO was the availability of evidence from the WHO Prequalification of In Vitro Diagnostics Programme (PQ), or from other WHO IVD assessment processes, as applicable, which further support the choice of certain diagnostic test categories. Links to relevant documents are provided in the EDL by type of test.</w:t>
      </w:r>
    </w:p>
    <w:p>
      <w:pPr>
        <w:pStyle w:val="BodyText"/>
      </w:pPr>
    </w:p>
    <w:p>
      <w:pPr>
        <w:pStyle w:val="Heading3"/>
        <w:spacing w:before="159"/>
      </w:pPr>
      <w:r>
        <w:rPr/>
        <w:t>Process for updating the EDL going forward</w:t>
      </w:r>
    </w:p>
    <w:p>
      <w:pPr>
        <w:pStyle w:val="BodyText"/>
        <w:spacing w:line="259" w:lineRule="auto" w:before="182"/>
        <w:ind w:left="220" w:right="153"/>
        <w:jc w:val="both"/>
      </w:pPr>
      <w:r>
        <w:rPr/>
        <w:t>The EDL will be expanded and updated annually with the intention to ultimately cover a broad, comprehensive spectrum of disease. WHO will issue a call for applications to add IVD test categories to the next edition of the EDL in mid-2018. The call will request applicants to provide information on clinical accuracy or impact of the proposed IVDs. The first EDL will be expanded significantly over the next few years, incorporating tests for other important areas such as antimicrobial resistance, additional NCDs, emerging pathogens, emergencies and outbreaks, and neglected tropical diseases. It is foreseen that the EDL will be an important tool to increase access to appropriate, affordable, and quality-assured IVDs, particularly where they are most needed to address health</w:t>
      </w:r>
      <w:r>
        <w:rPr>
          <w:spacing w:val="-15"/>
        </w:rPr>
        <w:t> </w:t>
      </w:r>
      <w:r>
        <w:rPr/>
        <w:t>priorities.</w:t>
      </w:r>
    </w:p>
    <w:p>
      <w:pPr>
        <w:pStyle w:val="BodyText"/>
      </w:pPr>
    </w:p>
    <w:p>
      <w:pPr>
        <w:pStyle w:val="BodyText"/>
        <w:spacing w:before="11"/>
        <w:rPr>
          <w:sz w:val="21"/>
        </w:rPr>
      </w:pPr>
    </w:p>
    <w:p>
      <w:pPr>
        <w:pStyle w:val="Heading3"/>
      </w:pPr>
      <w:r>
        <w:rPr/>
        <w:t>Relationship between the EDL and List of Prequalified In Vitro Diagnostics</w:t>
      </w:r>
    </w:p>
    <w:p>
      <w:pPr>
        <w:pStyle w:val="BodyText"/>
        <w:spacing w:line="259" w:lineRule="auto" w:before="24"/>
        <w:ind w:left="220" w:right="153"/>
        <w:jc w:val="both"/>
      </w:pPr>
      <w:r>
        <w:rPr/>
        <w:t>It should be noted that the EDL and PQ List are complementary and distinct. The PQ lists include priority IVDs which have been assessed by WHO and are identified by brand (in contrast to the EDL which lists categories of IVDs). Currently the PQL has a narrower scope than the EDL.</w:t>
      </w:r>
    </w:p>
    <w:p>
      <w:pPr>
        <w:pStyle w:val="BodyText"/>
        <w:spacing w:line="259" w:lineRule="auto"/>
        <w:ind w:left="220" w:right="155"/>
        <w:jc w:val="both"/>
      </w:pPr>
      <w:r>
        <w:rPr/>
        <w:t>Having IVDs on the PQ list is not a requirement for a category of tests to be considered for inclusion in the EDL. In the context of the EDL, the PQ list should be viewed as a resource as it lists specific prequalified brands of products that correspond to certain categories of tests in the EDL. Relevant links are provided in the EDL.</w:t>
      </w:r>
    </w:p>
    <w:p>
      <w:pPr>
        <w:spacing w:after="0" w:line="259" w:lineRule="auto"/>
        <w:jc w:val="both"/>
        <w:sectPr>
          <w:pgSz w:w="11910" w:h="16840"/>
          <w:pgMar w:header="504" w:footer="1014" w:top="1580" w:bottom="1200" w:left="1220" w:right="1280"/>
        </w:sectPr>
      </w:pPr>
    </w:p>
    <w:p>
      <w:pPr>
        <w:pStyle w:val="BodyText"/>
        <w:spacing w:before="4"/>
        <w:rPr>
          <w:sz w:val="8"/>
        </w:rPr>
      </w:pPr>
    </w:p>
    <w:p>
      <w:pPr>
        <w:pStyle w:val="Heading3"/>
        <w:spacing w:before="52"/>
      </w:pPr>
      <w:r>
        <w:rPr/>
        <w:t>Implementation of the EDL by countries</w:t>
      </w:r>
    </w:p>
    <w:p>
      <w:pPr>
        <w:pStyle w:val="BodyText"/>
        <w:spacing w:before="9"/>
        <w:rPr>
          <w:b/>
          <w:sz w:val="21"/>
        </w:rPr>
      </w:pPr>
    </w:p>
    <w:p>
      <w:pPr>
        <w:pStyle w:val="BodyText"/>
        <w:ind w:left="220" w:right="153"/>
        <w:jc w:val="both"/>
      </w:pPr>
      <w:r>
        <w:rPr/>
        <w:t>It will be important that Member States adopt and adapt the EDL to develop their own national EDLs. These national EDLs will then need to be implemented to ensure impact. Implementation requires countries to invest in integrated, connected, tiered laboratory systems, with adequate human resources, training, laboratory infrastructure, and regulatory and quality assurance</w:t>
      </w:r>
      <w:r>
        <w:rPr>
          <w:spacing w:val="-23"/>
        </w:rPr>
        <w:t> </w:t>
      </w:r>
      <w:r>
        <w:rPr/>
        <w:t>systems.</w:t>
      </w:r>
    </w:p>
    <w:p>
      <w:pPr>
        <w:pStyle w:val="BodyText"/>
      </w:pPr>
    </w:p>
    <w:p>
      <w:pPr>
        <w:pStyle w:val="BodyText"/>
        <w:spacing w:before="2"/>
      </w:pPr>
    </w:p>
    <w:p>
      <w:pPr>
        <w:pStyle w:val="Heading3"/>
      </w:pPr>
      <w:r>
        <w:rPr/>
        <w:t>Glossary</w:t>
      </w:r>
    </w:p>
    <w:p>
      <w:pPr>
        <w:pStyle w:val="BodyText"/>
        <w:spacing w:line="259" w:lineRule="auto" w:before="182"/>
        <w:ind w:left="220" w:right="155"/>
        <w:jc w:val="both"/>
      </w:pPr>
      <w:r>
        <w:rPr>
          <w:b/>
        </w:rPr>
        <w:t>Essential diagnostics: </w:t>
      </w:r>
      <w:r>
        <w:rPr/>
        <w:t>Diagnostics that satisfy the priority health care needs of the population and are selected with due regard to disease prevalence and public health relevance, evidence of efficacy and accuracy, and comparative cost-effectiveness; similar to the definition of an essential</w:t>
      </w:r>
      <w:r>
        <w:rPr>
          <w:spacing w:val="-20"/>
        </w:rPr>
        <w:t> </w:t>
      </w:r>
      <w:r>
        <w:rPr/>
        <w:t>medicine.</w:t>
      </w:r>
    </w:p>
    <w:p>
      <w:pPr>
        <w:pStyle w:val="BodyText"/>
        <w:spacing w:line="259" w:lineRule="auto" w:before="160"/>
        <w:ind w:left="220" w:right="154"/>
        <w:jc w:val="both"/>
      </w:pPr>
      <w:r>
        <w:rPr>
          <w:b/>
        </w:rPr>
        <w:t>Health care facility with laboratory support: </w:t>
      </w:r>
      <w:r>
        <w:rPr/>
        <w:t>District, regional, provincial or specialized hospitals/laboratories and national reference laboratories. Trained laboratory technicians, specialist expertise and laboratory infrastructure/equipment are available at the appropriate level. Note: All diagnostic tests available at the primary care level are assumed to be available at higher levels as appropriate.</w:t>
      </w:r>
    </w:p>
    <w:p>
      <w:pPr>
        <w:pStyle w:val="BodyText"/>
        <w:spacing w:line="259" w:lineRule="auto" w:before="158"/>
        <w:ind w:left="220" w:right="153"/>
        <w:jc w:val="both"/>
      </w:pPr>
      <w:r>
        <w:rPr>
          <w:b/>
        </w:rPr>
        <w:t>In vitro diagnostics: </w:t>
      </w:r>
      <w:r>
        <w:rPr/>
        <w:t>A subset of medical devices, defined as: </w:t>
      </w:r>
      <w:r>
        <w:rPr>
          <w:color w:val="212121"/>
        </w:rPr>
        <w:t>a device which, whether used alone or in combination, is intended by the manufacturer for the in vitro examination of specimens derived from the human body solely or principally to provide information for diagnostic, monitoring or compatibility purposes. It includes reagents, calibrators, control material, test kits, etc.</w:t>
      </w:r>
      <w:r>
        <w:rPr>
          <w:color w:val="212121"/>
          <w:vertAlign w:val="superscript"/>
        </w:rPr>
        <w:t>2</w:t>
      </w:r>
    </w:p>
    <w:p>
      <w:pPr>
        <w:pStyle w:val="BodyText"/>
        <w:spacing w:line="259" w:lineRule="auto" w:before="160"/>
        <w:ind w:left="220" w:right="154"/>
        <w:jc w:val="both"/>
      </w:pPr>
      <w:r>
        <w:rPr>
          <w:b/>
        </w:rPr>
        <w:t>Medical device: </w:t>
      </w:r>
      <w:r>
        <w:rPr/>
        <w:t>Any article, apparatus, instrument, machine, appliance, implant, reagent for in vitro use, software, material or other similar related articles, intended to be used, alone or in combination, for human beings, for one or more of the specific medical purpose(s)</w:t>
      </w:r>
      <w:r>
        <w:rPr>
          <w:spacing w:val="-23"/>
        </w:rPr>
        <w:t> </w:t>
      </w:r>
      <w:r>
        <w:rPr/>
        <w:t>of:</w:t>
      </w:r>
    </w:p>
    <w:p>
      <w:pPr>
        <w:pStyle w:val="ListParagraph"/>
        <w:numPr>
          <w:ilvl w:val="1"/>
          <w:numId w:val="3"/>
        </w:numPr>
        <w:tabs>
          <w:tab w:pos="940" w:val="left" w:leader="none"/>
          <w:tab w:pos="941" w:val="left" w:leader="none"/>
        </w:tabs>
        <w:spacing w:line="240" w:lineRule="auto" w:before="160" w:after="0"/>
        <w:ind w:left="940" w:right="0" w:hanging="360"/>
        <w:jc w:val="left"/>
        <w:rPr>
          <w:sz w:val="22"/>
        </w:rPr>
      </w:pPr>
      <w:r>
        <w:rPr>
          <w:sz w:val="22"/>
        </w:rPr>
        <w:t>diagnosis, prevention, monitoring, treatment or alleviation of</w:t>
      </w:r>
      <w:r>
        <w:rPr>
          <w:spacing w:val="-12"/>
          <w:sz w:val="22"/>
        </w:rPr>
        <w:t> </w:t>
      </w:r>
      <w:r>
        <w:rPr>
          <w:sz w:val="22"/>
        </w:rPr>
        <w:t>disease;</w:t>
      </w:r>
    </w:p>
    <w:p>
      <w:pPr>
        <w:pStyle w:val="ListParagraph"/>
        <w:numPr>
          <w:ilvl w:val="1"/>
          <w:numId w:val="3"/>
        </w:numPr>
        <w:tabs>
          <w:tab w:pos="940" w:val="left" w:leader="none"/>
          <w:tab w:pos="941" w:val="left" w:leader="none"/>
        </w:tabs>
        <w:spacing w:line="240" w:lineRule="auto" w:before="22" w:after="0"/>
        <w:ind w:left="940" w:right="0" w:hanging="360"/>
        <w:jc w:val="left"/>
        <w:rPr>
          <w:sz w:val="22"/>
        </w:rPr>
      </w:pPr>
      <w:r>
        <w:rPr>
          <w:sz w:val="22"/>
        </w:rPr>
        <w:t>diagnosis, monitoring, treatment, alleviation of or compensation for an</w:t>
      </w:r>
      <w:r>
        <w:rPr>
          <w:spacing w:val="-12"/>
          <w:sz w:val="22"/>
        </w:rPr>
        <w:t> </w:t>
      </w:r>
      <w:r>
        <w:rPr>
          <w:sz w:val="22"/>
        </w:rPr>
        <w:t>injury;</w:t>
      </w:r>
    </w:p>
    <w:p>
      <w:pPr>
        <w:pStyle w:val="ListParagraph"/>
        <w:numPr>
          <w:ilvl w:val="1"/>
          <w:numId w:val="3"/>
        </w:numPr>
        <w:tabs>
          <w:tab w:pos="940" w:val="left" w:leader="none"/>
          <w:tab w:pos="941" w:val="left" w:leader="none"/>
        </w:tabs>
        <w:spacing w:line="259" w:lineRule="auto" w:before="20" w:after="0"/>
        <w:ind w:left="940" w:right="157" w:hanging="360"/>
        <w:jc w:val="left"/>
        <w:rPr>
          <w:sz w:val="22"/>
        </w:rPr>
      </w:pPr>
      <w:r>
        <w:rPr>
          <w:sz w:val="22"/>
        </w:rPr>
        <w:t>investigation, replacement, modification, or support of the anatomy or of a physiological process;</w:t>
      </w:r>
    </w:p>
    <w:p>
      <w:pPr>
        <w:pStyle w:val="ListParagraph"/>
        <w:numPr>
          <w:ilvl w:val="1"/>
          <w:numId w:val="3"/>
        </w:numPr>
        <w:tabs>
          <w:tab w:pos="940" w:val="left" w:leader="none"/>
          <w:tab w:pos="941" w:val="left" w:leader="none"/>
        </w:tabs>
        <w:spacing w:line="240" w:lineRule="auto" w:before="1" w:after="0"/>
        <w:ind w:left="940" w:right="0" w:hanging="360"/>
        <w:jc w:val="left"/>
        <w:rPr>
          <w:sz w:val="22"/>
        </w:rPr>
      </w:pPr>
      <w:r>
        <w:rPr>
          <w:sz w:val="22"/>
        </w:rPr>
        <w:t>supporting or sustaining</w:t>
      </w:r>
      <w:r>
        <w:rPr>
          <w:spacing w:val="-6"/>
          <w:sz w:val="22"/>
        </w:rPr>
        <w:t> </w:t>
      </w:r>
      <w:r>
        <w:rPr>
          <w:sz w:val="22"/>
        </w:rPr>
        <w:t>life;</w:t>
      </w:r>
    </w:p>
    <w:p>
      <w:pPr>
        <w:pStyle w:val="ListParagraph"/>
        <w:numPr>
          <w:ilvl w:val="1"/>
          <w:numId w:val="3"/>
        </w:numPr>
        <w:tabs>
          <w:tab w:pos="940" w:val="left" w:leader="none"/>
          <w:tab w:pos="941" w:val="left" w:leader="none"/>
        </w:tabs>
        <w:spacing w:line="240" w:lineRule="auto" w:before="19" w:after="0"/>
        <w:ind w:left="940" w:right="0" w:hanging="360"/>
        <w:jc w:val="left"/>
        <w:rPr>
          <w:sz w:val="22"/>
        </w:rPr>
      </w:pPr>
      <w:r>
        <w:rPr>
          <w:sz w:val="22"/>
        </w:rPr>
        <w:t>control of</w:t>
      </w:r>
      <w:r>
        <w:rPr>
          <w:spacing w:val="-2"/>
          <w:sz w:val="22"/>
        </w:rPr>
        <w:t> </w:t>
      </w:r>
      <w:r>
        <w:rPr>
          <w:sz w:val="22"/>
        </w:rPr>
        <w:t>conception;</w:t>
      </w:r>
    </w:p>
    <w:p>
      <w:pPr>
        <w:pStyle w:val="ListParagraph"/>
        <w:numPr>
          <w:ilvl w:val="1"/>
          <w:numId w:val="3"/>
        </w:numPr>
        <w:tabs>
          <w:tab w:pos="940" w:val="left" w:leader="none"/>
          <w:tab w:pos="941" w:val="left" w:leader="none"/>
        </w:tabs>
        <w:spacing w:line="240" w:lineRule="auto" w:before="23" w:after="0"/>
        <w:ind w:left="940" w:right="0" w:hanging="360"/>
        <w:jc w:val="left"/>
        <w:rPr>
          <w:sz w:val="22"/>
        </w:rPr>
      </w:pPr>
      <w:r>
        <w:rPr>
          <w:sz w:val="22"/>
        </w:rPr>
        <w:t>disinfection of medical</w:t>
      </w:r>
      <w:r>
        <w:rPr>
          <w:spacing w:val="-6"/>
          <w:sz w:val="22"/>
        </w:rPr>
        <w:t> </w:t>
      </w:r>
      <w:r>
        <w:rPr>
          <w:sz w:val="22"/>
        </w:rPr>
        <w:t>devices;</w:t>
      </w:r>
    </w:p>
    <w:p>
      <w:pPr>
        <w:pStyle w:val="ListParagraph"/>
        <w:numPr>
          <w:ilvl w:val="1"/>
          <w:numId w:val="3"/>
        </w:numPr>
        <w:tabs>
          <w:tab w:pos="940" w:val="left" w:leader="none"/>
          <w:tab w:pos="941" w:val="left" w:leader="none"/>
        </w:tabs>
        <w:spacing w:line="256" w:lineRule="auto" w:before="22" w:after="0"/>
        <w:ind w:left="940" w:right="156" w:hanging="360"/>
        <w:jc w:val="left"/>
        <w:rPr>
          <w:sz w:val="22"/>
        </w:rPr>
      </w:pPr>
      <w:r>
        <w:rPr>
          <w:sz w:val="22"/>
        </w:rPr>
        <w:t>providing information by means of in vitro examination of specimens derived from the human</w:t>
      </w:r>
      <w:r>
        <w:rPr>
          <w:spacing w:val="-2"/>
          <w:sz w:val="22"/>
        </w:rPr>
        <w:t> </w:t>
      </w:r>
      <w:r>
        <w:rPr>
          <w:sz w:val="22"/>
        </w:rPr>
        <w:t>body;</w:t>
      </w:r>
    </w:p>
    <w:p>
      <w:pPr>
        <w:pStyle w:val="BodyText"/>
        <w:spacing w:line="256" w:lineRule="auto" w:before="165"/>
        <w:ind w:left="220" w:right="158"/>
        <w:jc w:val="both"/>
      </w:pPr>
      <w:r>
        <w:rPr/>
        <w:t>and does not achieve its primary intended action by pharmacological, immunological or metabolic means, in or on the human body, but which may be assisted in its intended function by such means.</w:t>
      </w:r>
    </w:p>
    <w:p>
      <w:pPr>
        <w:pStyle w:val="BodyText"/>
        <w:spacing w:line="259" w:lineRule="auto" w:before="164"/>
        <w:ind w:left="220" w:right="152"/>
        <w:jc w:val="both"/>
      </w:pPr>
      <w:r>
        <w:rPr>
          <w:b/>
        </w:rPr>
        <w:t>Primary health care: </w:t>
      </w:r>
      <w:r>
        <w:rPr/>
        <w:t>Health centres, doctors’ offices, health posts, outreach clinics. Typically, self- testing and rapid diagnostics tests are available, but there are either no laboratories, or small laboratories with trained health care personnel but no trained laboratory technicians.</w:t>
      </w:r>
    </w:p>
    <w:p>
      <w:pPr>
        <w:pStyle w:val="BodyText"/>
        <w:rPr>
          <w:sz w:val="20"/>
        </w:rPr>
      </w:pPr>
    </w:p>
    <w:p>
      <w:pPr>
        <w:pStyle w:val="BodyText"/>
        <w:rPr>
          <w:sz w:val="20"/>
        </w:rPr>
      </w:pPr>
    </w:p>
    <w:p>
      <w:pPr>
        <w:pStyle w:val="BodyText"/>
        <w:spacing w:before="4"/>
        <w:rPr>
          <w:sz w:val="14"/>
        </w:rPr>
      </w:pPr>
      <w:r>
        <w:rPr/>
        <w:pict>
          <v:line style="position:absolute;mso-position-horizontal-relative:page;mso-position-vertical-relative:paragraph;z-index:-976;mso-wrap-distance-left:0;mso-wrap-distance-right:0" from="72.024002pt,11.118613pt" to="216.044002pt,11.118613pt" stroked="true" strokeweight=".72003pt" strokecolor="#000000">
            <v:stroke dashstyle="solid"/>
            <w10:wrap type="topAndBottom"/>
          </v:line>
        </w:pict>
      </w:r>
    </w:p>
    <w:p>
      <w:pPr>
        <w:spacing w:before="39"/>
        <w:ind w:left="220" w:right="336" w:firstLine="0"/>
        <w:jc w:val="both"/>
        <w:rPr>
          <w:sz w:val="20"/>
        </w:rPr>
      </w:pPr>
      <w:r>
        <w:rPr>
          <w:position w:val="10"/>
          <w:sz w:val="13"/>
        </w:rPr>
        <w:t>2 </w:t>
      </w:r>
      <w:r>
        <w:rPr>
          <w:sz w:val="20"/>
        </w:rPr>
        <w:t>Global Harmonization Task Force (2012). Definition of the terms medical device and in vitro diagnostic (IVD) medical device (</w:t>
      </w:r>
      <w:hyperlink r:id="rId10">
        <w:r>
          <w:rPr>
            <w:color w:val="0462C1"/>
            <w:sz w:val="20"/>
            <w:u w:val="single" w:color="0462C1"/>
          </w:rPr>
          <w:t>http://www.imdrf.org/docs/ghtf/final/sg1/technical-docs/ghtf-sg1-n071-2012-definition-of-</w:t>
        </w:r>
      </w:hyperlink>
      <w:r>
        <w:rPr>
          <w:color w:val="0462C1"/>
          <w:sz w:val="20"/>
        </w:rPr>
        <w:t> </w:t>
      </w:r>
      <w:hyperlink r:id="rId10">
        <w:r>
          <w:rPr>
            <w:color w:val="0462C1"/>
            <w:sz w:val="20"/>
            <w:u w:val="single" w:color="0462C1"/>
          </w:rPr>
          <w:t>terms-120516.pdf#search</w:t>
        </w:r>
        <w:r>
          <w:rPr>
            <w:sz w:val="20"/>
          </w:rPr>
          <w:t>, </w:t>
        </w:r>
      </w:hyperlink>
      <w:r>
        <w:rPr>
          <w:sz w:val="20"/>
        </w:rPr>
        <w:t>accessed 3 May 2018).</w:t>
      </w:r>
    </w:p>
    <w:p>
      <w:pPr>
        <w:spacing w:after="0"/>
        <w:jc w:val="both"/>
        <w:rPr>
          <w:sz w:val="20"/>
        </w:rPr>
        <w:sectPr>
          <w:pgSz w:w="11910" w:h="16840"/>
          <w:pgMar w:header="504" w:footer="1014" w:top="1580" w:bottom="1200" w:left="1220" w:right="1280"/>
        </w:sectPr>
      </w:pPr>
    </w:p>
    <w:p>
      <w:pPr>
        <w:pStyle w:val="BodyText"/>
        <w:spacing w:before="7"/>
        <w:rPr>
          <w:sz w:val="9"/>
        </w:rPr>
      </w:pPr>
    </w:p>
    <w:p>
      <w:pPr>
        <w:pStyle w:val="Heading1"/>
        <w:spacing w:line="259" w:lineRule="auto"/>
      </w:pPr>
      <w:r>
        <w:rPr/>
        <w:t>Additional materials to assist countries in the selection and implementation of IVDs</w:t>
      </w:r>
    </w:p>
    <w:p>
      <w:pPr>
        <w:pStyle w:val="BodyText"/>
        <w:spacing w:line="403" w:lineRule="auto" w:before="158"/>
        <w:ind w:left="220" w:right="5862"/>
      </w:pPr>
      <w:r>
        <w:rPr/>
        <w:t>These include, but are not limited to: WHO website (</w:t>
      </w:r>
      <w:hyperlink r:id="rId11">
        <w:r>
          <w:rPr>
            <w:color w:val="0462C1"/>
            <w:u w:val="single" w:color="0462C1"/>
          </w:rPr>
          <w:t>www.who.int</w:t>
        </w:r>
      </w:hyperlink>
      <w:r>
        <w:rPr/>
        <w:t>).</w:t>
      </w:r>
    </w:p>
    <w:p>
      <w:pPr>
        <w:pStyle w:val="BodyText"/>
        <w:spacing w:line="259" w:lineRule="auto"/>
        <w:ind w:left="220" w:right="748"/>
      </w:pPr>
      <w:r>
        <w:rPr/>
        <w:t>Guidance for procurement of in vitro diagnostics and related laboratory items and equipment. Second edition. Geneva: World Health Organization; 2017 (</w:t>
      </w:r>
      <w:hyperlink r:id="rId9">
        <w:r>
          <w:rPr>
            <w:color w:val="0462C1"/>
            <w:u w:val="single" w:color="0462C1"/>
          </w:rPr>
          <w:t>http://www.who.int/diagnostics_laboratory/publications/procurement/en/</w:t>
        </w:r>
      </w:hyperlink>
      <w:r>
        <w:rPr/>
        <w:t>).</w:t>
      </w:r>
    </w:p>
    <w:p>
      <w:pPr>
        <w:pStyle w:val="BodyText"/>
        <w:spacing w:before="4"/>
        <w:rPr>
          <w:sz w:val="8"/>
        </w:rPr>
      </w:pPr>
    </w:p>
    <w:p>
      <w:pPr>
        <w:pStyle w:val="BodyText"/>
        <w:spacing w:line="259" w:lineRule="auto" w:before="56"/>
        <w:ind w:left="220" w:right="90"/>
      </w:pPr>
      <w:r>
        <w:rPr/>
        <w:t>WHO Global model regulatory framework for medical devices including in vitro diagnostic medical devices. WHO Medical device technical series. Geneva: World Health Organization; 2017 (</w:t>
      </w:r>
      <w:hyperlink r:id="rId12">
        <w:r>
          <w:rPr>
            <w:color w:val="0462C1"/>
            <w:u w:val="single" w:color="0462C1"/>
          </w:rPr>
          <w:t>http://www.who.int/medical_devices/publications/global_model_regulatory_framework_meddev/e</w:t>
        </w:r>
      </w:hyperlink>
      <w:r>
        <w:rPr>
          <w:color w:val="0462C1"/>
        </w:rPr>
        <w:t> </w:t>
      </w:r>
      <w:hyperlink r:id="rId12">
        <w:r>
          <w:rPr>
            <w:color w:val="0462C1"/>
            <w:u w:val="single" w:color="0462C1"/>
          </w:rPr>
          <w:t>n/</w:t>
        </w:r>
      </w:hyperlink>
      <w:r>
        <w:rPr/>
        <w:t>).</w:t>
      </w:r>
    </w:p>
    <w:p>
      <w:pPr>
        <w:pStyle w:val="BodyText"/>
        <w:spacing w:before="6"/>
        <w:rPr>
          <w:sz w:val="8"/>
        </w:rPr>
      </w:pPr>
    </w:p>
    <w:p>
      <w:pPr>
        <w:pStyle w:val="BodyText"/>
        <w:spacing w:line="259" w:lineRule="auto" w:before="56"/>
        <w:ind w:left="220" w:right="1125"/>
      </w:pPr>
      <w:r>
        <w:rPr/>
        <w:t>Consultation on technical and operational recommendations for clinical laboratory testing harmonization and standardization. Geneva: World Health Organization; 2008 (</w:t>
      </w:r>
      <w:hyperlink r:id="rId13">
        <w:r>
          <w:rPr>
            <w:color w:val="0462C1"/>
            <w:u w:val="single" w:color="0462C1"/>
          </w:rPr>
          <w:t>http://www.who.int/healthsystems/round9_9.pdf</w:t>
        </w:r>
      </w:hyperlink>
      <w:r>
        <w:rPr/>
        <w:t>).</w:t>
      </w:r>
    </w:p>
    <w:p>
      <w:pPr>
        <w:pStyle w:val="BodyText"/>
        <w:spacing w:before="6"/>
        <w:rPr>
          <w:sz w:val="8"/>
        </w:rPr>
      </w:pPr>
    </w:p>
    <w:p>
      <w:pPr>
        <w:pStyle w:val="BodyText"/>
        <w:spacing w:line="256" w:lineRule="auto" w:before="56"/>
        <w:ind w:left="220" w:right="2060"/>
      </w:pPr>
      <w:r>
        <w:rPr/>
        <w:t>Global Health Observatory data data. Geneva: World Health Organization; 2017 (</w:t>
      </w:r>
      <w:hyperlink r:id="rId14">
        <w:r>
          <w:rPr>
            <w:color w:val="0462C1"/>
            <w:u w:val="single" w:color="0462C1"/>
          </w:rPr>
          <w:t>http://www.who.int/gho/en/</w:t>
        </w:r>
      </w:hyperlink>
      <w:r>
        <w:rPr/>
        <w:t>).</w:t>
      </w:r>
    </w:p>
    <w:p>
      <w:pPr>
        <w:pStyle w:val="BodyText"/>
        <w:spacing w:before="11"/>
        <w:rPr>
          <w:sz w:val="8"/>
        </w:rPr>
      </w:pPr>
    </w:p>
    <w:p>
      <w:pPr>
        <w:pStyle w:val="BodyText"/>
        <w:spacing w:line="259" w:lineRule="auto" w:before="57"/>
        <w:ind w:left="220" w:right="418"/>
      </w:pPr>
      <w:r>
        <w:rPr/>
        <w:t>WHO guide for the stepwise laboratory improvement process towards accreditation in the African Region (SLIPTA). Brazzaville: WHO Regional Office for Africa; 2015. (</w:t>
      </w:r>
      <w:hyperlink r:id="rId15">
        <w:r>
          <w:rPr>
            <w:color w:val="0462C1"/>
            <w:u w:val="single" w:color="0462C1"/>
          </w:rPr>
          <w:t>http://www.afro.who.int/publications/who-guide-stepwise-laboratory-improvement-process-</w:t>
        </w:r>
      </w:hyperlink>
      <w:r>
        <w:rPr>
          <w:color w:val="0462C1"/>
        </w:rPr>
        <w:t> </w:t>
      </w:r>
      <w:hyperlink r:id="rId15">
        <w:r>
          <w:rPr>
            <w:color w:val="0462C1"/>
            <w:u w:val="single" w:color="0462C1"/>
          </w:rPr>
          <w:t>towards-accreditation-slipta-african</w:t>
        </w:r>
      </w:hyperlink>
      <w:r>
        <w:rPr/>
        <w:t>).</w:t>
      </w:r>
    </w:p>
    <w:p>
      <w:pPr>
        <w:pStyle w:val="BodyText"/>
        <w:spacing w:before="5"/>
        <w:rPr>
          <w:sz w:val="8"/>
        </w:rPr>
      </w:pPr>
    </w:p>
    <w:p>
      <w:pPr>
        <w:pStyle w:val="BodyText"/>
        <w:spacing w:line="259" w:lineRule="auto" w:before="57"/>
        <w:ind w:left="220" w:right="169"/>
      </w:pPr>
      <w:r>
        <w:rPr/>
        <w:t>Laboratory quality standards and their implementation. WHO Regional Office for the Western Pacific and WHO Regional Office for South-East Asia; 2011 (</w:t>
      </w:r>
      <w:hyperlink r:id="rId16">
        <w:r>
          <w:rPr>
            <w:color w:val="0462C1"/>
            <w:u w:val="single" w:color="0462C1"/>
          </w:rPr>
          <w:t>http://www.who.int/medical_devices/publications/lab_quality_standards/en/</w:t>
        </w:r>
      </w:hyperlink>
      <w:r>
        <w:rPr/>
        <w:t>).</w:t>
      </w:r>
    </w:p>
    <w:p>
      <w:pPr>
        <w:pStyle w:val="BodyText"/>
        <w:spacing w:before="3"/>
        <w:rPr>
          <w:sz w:val="8"/>
        </w:rPr>
      </w:pPr>
    </w:p>
    <w:p>
      <w:pPr>
        <w:pStyle w:val="BodyText"/>
        <w:spacing w:line="259" w:lineRule="auto" w:before="56"/>
        <w:ind w:left="220" w:right="219"/>
      </w:pPr>
      <w:r>
        <w:rPr/>
        <w:t>Guide for national public health laboratory networking to strengthen integrated disease surveillance and response (IDSR). Brazzaville: WHO Regional Office for Africa; 2008 (</w:t>
      </w:r>
      <w:hyperlink r:id="rId17">
        <w:r>
          <w:rPr>
            <w:color w:val="0462C1"/>
            <w:u w:val="single" w:color="0462C1"/>
          </w:rPr>
          <w:t>http://www.afro.who.int/publications/guide-national-public-health-laboratory-networking-</w:t>
        </w:r>
      </w:hyperlink>
      <w:r>
        <w:rPr>
          <w:color w:val="0462C1"/>
        </w:rPr>
        <w:t> </w:t>
      </w:r>
      <w:hyperlink r:id="rId17">
        <w:r>
          <w:rPr>
            <w:color w:val="0462C1"/>
            <w:u w:val="single" w:color="0462C1"/>
          </w:rPr>
          <w:t>strengthen-integrated-disease</w:t>
        </w:r>
      </w:hyperlink>
      <w:r>
        <w:rPr/>
        <w:t>).</w:t>
      </w:r>
    </w:p>
    <w:p>
      <w:pPr>
        <w:pStyle w:val="BodyText"/>
        <w:spacing w:before="7"/>
        <w:rPr>
          <w:sz w:val="8"/>
        </w:rPr>
      </w:pPr>
    </w:p>
    <w:p>
      <w:pPr>
        <w:pStyle w:val="BodyText"/>
        <w:spacing w:line="259" w:lineRule="auto" w:before="56"/>
        <w:ind w:left="220" w:right="394"/>
      </w:pPr>
      <w:r>
        <w:rPr/>
        <w:t>Guidance for development of national laboratory strategic plans. Brazzaville: WHO Regional Office for Africa and Atlanta (Georgia): United States Centers for Disease Control and Prevention (CDC); 2009 (</w:t>
      </w:r>
      <w:hyperlink r:id="rId18">
        <w:r>
          <w:rPr>
            <w:color w:val="0462C1"/>
            <w:u w:val="single" w:color="0462C1"/>
          </w:rPr>
          <w:t>http://www.who.int/hiv/amds/amds_guide_dev_nat_lab_strat.pdf</w:t>
        </w:r>
      </w:hyperlink>
      <w:r>
        <w:rPr/>
        <w:t>).</w:t>
      </w:r>
    </w:p>
    <w:p>
      <w:pPr>
        <w:pStyle w:val="BodyText"/>
        <w:spacing w:before="5"/>
        <w:rPr>
          <w:sz w:val="8"/>
        </w:rPr>
      </w:pPr>
    </w:p>
    <w:p>
      <w:pPr>
        <w:pStyle w:val="BodyText"/>
        <w:spacing w:line="259" w:lineRule="auto" w:before="57"/>
        <w:ind w:left="220" w:right="748"/>
      </w:pPr>
      <w:r>
        <w:rPr/>
        <w:t>Guidance for procurement of in vitro diagnostics and related laboratory items and equipment. Geneva: World Health Organization; 2017 (</w:t>
      </w:r>
      <w:hyperlink r:id="rId9">
        <w:r>
          <w:rPr>
            <w:color w:val="0462C1"/>
            <w:u w:val="single" w:color="0462C1"/>
          </w:rPr>
          <w:t>http://www.who.int/diagnostics_laboratory/publications/procurement/en/</w:t>
        </w:r>
      </w:hyperlink>
      <w:r>
        <w:rPr/>
        <w:t>).</w:t>
      </w:r>
    </w:p>
    <w:p>
      <w:pPr>
        <w:pStyle w:val="BodyText"/>
        <w:spacing w:before="5"/>
        <w:rPr>
          <w:sz w:val="8"/>
        </w:rPr>
      </w:pPr>
    </w:p>
    <w:p>
      <w:pPr>
        <w:pStyle w:val="BodyText"/>
        <w:spacing w:line="259" w:lineRule="auto" w:before="57"/>
        <w:ind w:left="220" w:right="457"/>
      </w:pPr>
      <w:r>
        <w:rPr/>
        <w:t>WHO expert meeting report on short, medium and longer term product development priorities in HIV-related diagnostics. Geneva: World Health Organization; 2012 (</w:t>
      </w:r>
      <w:hyperlink r:id="rId19">
        <w:r>
          <w:rPr>
            <w:color w:val="0462C1"/>
            <w:u w:val="single" w:color="0462C1"/>
          </w:rPr>
          <w:t>http://www.who.int/hiv/pub/meetingreports/hiv_diagnostics/en/</w:t>
        </w:r>
      </w:hyperlink>
      <w:r>
        <w:rPr/>
        <w:t>).</w:t>
      </w:r>
    </w:p>
    <w:p>
      <w:pPr>
        <w:pStyle w:val="BodyText"/>
        <w:spacing w:before="6"/>
        <w:rPr>
          <w:sz w:val="8"/>
        </w:rPr>
      </w:pPr>
    </w:p>
    <w:p>
      <w:pPr>
        <w:pStyle w:val="BodyText"/>
        <w:spacing w:before="56"/>
        <w:ind w:left="220" w:right="526"/>
        <w:rPr>
          <w:sz w:val="18"/>
        </w:rPr>
      </w:pPr>
      <w:r>
        <w:rPr/>
        <w:t>Interagency list of priority medical devices for essential interventions for reproductive, maternal, newborn and child health; 2015 </w:t>
      </w:r>
      <w:hyperlink r:id="rId20">
        <w:r>
          <w:rPr>
            <w:sz w:val="18"/>
          </w:rPr>
          <w:t>(</w:t>
        </w:r>
        <w:r>
          <w:rPr>
            <w:color w:val="0462C1"/>
            <w:u w:val="single" w:color="0462C1"/>
          </w:rPr>
          <w:t>http://www.who.int/medical_devices/publications/interagency_med_dev_list/en/</w:t>
        </w:r>
      </w:hyperlink>
      <w:r>
        <w:rPr>
          <w:sz w:val="18"/>
        </w:rPr>
        <w:t>).</w:t>
      </w:r>
    </w:p>
    <w:p>
      <w:pPr>
        <w:spacing w:after="0"/>
        <w:rPr>
          <w:sz w:val="18"/>
        </w:rPr>
        <w:sectPr>
          <w:pgSz w:w="11910" w:h="16840"/>
          <w:pgMar w:header="504" w:footer="1014" w:top="1580" w:bottom="1200" w:left="1220" w:right="1280"/>
        </w:sectPr>
      </w:pPr>
    </w:p>
    <w:p>
      <w:pPr>
        <w:pStyle w:val="BodyText"/>
        <w:spacing w:before="10"/>
        <w:rPr>
          <w:sz w:val="25"/>
        </w:rPr>
      </w:pPr>
    </w:p>
    <w:p>
      <w:pPr>
        <w:pStyle w:val="BodyText"/>
        <w:spacing w:before="56"/>
        <w:ind w:left="220"/>
      </w:pPr>
      <w:r>
        <w:rPr/>
        <w:t>WHO list of priority medical devices for cancer management; 2017</w:t>
      </w:r>
    </w:p>
    <w:p>
      <w:pPr>
        <w:pStyle w:val="BodyText"/>
        <w:ind w:left="220"/>
        <w:rPr>
          <w:sz w:val="18"/>
        </w:rPr>
      </w:pPr>
      <w:hyperlink r:id="rId21">
        <w:r>
          <w:rPr>
            <w:sz w:val="18"/>
          </w:rPr>
          <w:t>(</w:t>
        </w:r>
        <w:r>
          <w:rPr>
            <w:color w:val="0462C1"/>
            <w:u w:val="single" w:color="0462C1"/>
          </w:rPr>
          <w:t>http://www.who.int/medical_devices/publications/priority_med_dev_cancer_management/en/</w:t>
        </w:r>
      </w:hyperlink>
      <w:r>
        <w:rPr>
          <w:sz w:val="18"/>
        </w:rPr>
        <w:t>).</w:t>
      </w:r>
    </w:p>
    <w:p>
      <w:pPr>
        <w:pStyle w:val="BodyText"/>
        <w:spacing w:before="4"/>
        <w:rPr>
          <w:sz w:val="13"/>
        </w:rPr>
      </w:pPr>
    </w:p>
    <w:p>
      <w:pPr>
        <w:pStyle w:val="BodyText"/>
        <w:spacing w:line="259" w:lineRule="auto" w:before="56"/>
        <w:ind w:left="220" w:right="1971"/>
      </w:pPr>
      <w:r>
        <w:rPr/>
        <w:t>WHO publications on medical devices. Geneva: World Health Organization; 2018 (</w:t>
      </w:r>
      <w:hyperlink r:id="rId22">
        <w:r>
          <w:rPr>
            <w:color w:val="0462C1"/>
            <w:u w:val="single" w:color="0462C1"/>
          </w:rPr>
          <w:t>http://www.who.int/medical_devices/publications/en/</w:t>
        </w:r>
      </w:hyperlink>
      <w:r>
        <w:rPr/>
        <w:t>).</w:t>
      </w:r>
    </w:p>
    <w:p>
      <w:pPr>
        <w:spacing w:after="0" w:line="259" w:lineRule="auto"/>
        <w:sectPr>
          <w:pgSz w:w="11910" w:h="16840"/>
          <w:pgMar w:header="504" w:footer="1014" w:top="1580" w:bottom="1200" w:left="1220" w:right="1280"/>
        </w:sectPr>
      </w:pPr>
    </w:p>
    <w:p>
      <w:pPr>
        <w:pStyle w:val="BodyText"/>
        <w:rPr>
          <w:sz w:val="20"/>
        </w:rPr>
      </w:pPr>
    </w:p>
    <w:p>
      <w:pPr>
        <w:pStyle w:val="Heading1"/>
        <w:spacing w:before="207"/>
        <w:ind w:left="260"/>
      </w:pPr>
      <w:bookmarkStart w:name="_bookmark2" w:id="3"/>
      <w:bookmarkEnd w:id="3"/>
      <w:r>
        <w:rPr>
          <w:b w:val="0"/>
        </w:rPr>
      </w:r>
      <w:r>
        <w:rPr/>
        <w:t>List of Essential In Vitro Diagnostics (EDL)</w:t>
      </w:r>
    </w:p>
    <w:p>
      <w:pPr>
        <w:pStyle w:val="BodyText"/>
        <w:spacing w:before="278"/>
        <w:ind w:left="980"/>
      </w:pPr>
      <w:r>
        <w:rPr/>
        <w:t>The first edition of the EDL is presented by health care facility level in two tiers:</w:t>
      </w:r>
    </w:p>
    <w:p>
      <w:pPr>
        <w:pStyle w:val="ListParagraph"/>
        <w:numPr>
          <w:ilvl w:val="0"/>
          <w:numId w:val="4"/>
        </w:numPr>
        <w:tabs>
          <w:tab w:pos="1806" w:val="left" w:leader="none"/>
        </w:tabs>
        <w:spacing w:line="240" w:lineRule="auto" w:before="1" w:after="0"/>
        <w:ind w:left="1805" w:right="0" w:hanging="105"/>
        <w:jc w:val="left"/>
        <w:rPr>
          <w:sz w:val="22"/>
        </w:rPr>
      </w:pPr>
      <w:r>
        <w:rPr>
          <w:sz w:val="22"/>
        </w:rPr>
        <w:t>Primary health care; with section a for general IVDs; and section b for specific</w:t>
      </w:r>
      <w:r>
        <w:rPr>
          <w:spacing w:val="-11"/>
          <w:sz w:val="22"/>
        </w:rPr>
        <w:t> </w:t>
      </w:r>
      <w:r>
        <w:rPr>
          <w:sz w:val="22"/>
        </w:rPr>
        <w:t>diseases</w:t>
      </w:r>
    </w:p>
    <w:p>
      <w:pPr>
        <w:pStyle w:val="ListParagraph"/>
        <w:numPr>
          <w:ilvl w:val="0"/>
          <w:numId w:val="4"/>
        </w:numPr>
        <w:tabs>
          <w:tab w:pos="1861" w:val="left" w:leader="none"/>
        </w:tabs>
        <w:spacing w:line="240" w:lineRule="auto" w:before="0" w:after="0"/>
        <w:ind w:left="980" w:right="2805" w:firstLine="720"/>
        <w:jc w:val="left"/>
        <w:rPr>
          <w:sz w:val="22"/>
        </w:rPr>
      </w:pPr>
      <w:r>
        <w:rPr>
          <w:sz w:val="22"/>
        </w:rPr>
        <w:t>Health care facilities with clinical laboratories, with section a for general IVDs; and section b for specific diseases, As follows:</w:t>
      </w:r>
    </w:p>
    <w:p>
      <w:pPr>
        <w:pStyle w:val="BodyText"/>
        <w:spacing w:before="2"/>
        <w:rPr>
          <w:sz w:val="32"/>
        </w:rPr>
      </w:pPr>
    </w:p>
    <w:p>
      <w:pPr>
        <w:pStyle w:val="Heading2"/>
        <w:numPr>
          <w:ilvl w:val="0"/>
          <w:numId w:val="5"/>
        </w:numPr>
        <w:tabs>
          <w:tab w:pos="1492" w:val="left" w:leader="none"/>
        </w:tabs>
        <w:spacing w:line="391" w:lineRule="exact" w:before="0" w:after="0"/>
        <w:ind w:left="1491" w:right="0" w:hanging="153"/>
        <w:jc w:val="left"/>
      </w:pPr>
      <w:bookmarkStart w:name="_bookmark3" w:id="4"/>
      <w:bookmarkEnd w:id="4"/>
      <w:r>
        <w:rPr/>
      </w:r>
      <w:bookmarkStart w:name="_bookmark3" w:id="5"/>
      <w:bookmarkEnd w:id="5"/>
      <w:r>
        <w:rPr/>
        <w:t>L</w:t>
      </w:r>
      <w:r>
        <w:rPr/>
        <w:t>ist of Essential In Vitro Diagnostics (EDL): For primary health</w:t>
      </w:r>
      <w:r>
        <w:rPr>
          <w:spacing w:val="-10"/>
        </w:rPr>
        <w:t> </w:t>
      </w:r>
      <w:r>
        <w:rPr/>
        <w:t>care</w:t>
      </w:r>
    </w:p>
    <w:p>
      <w:pPr>
        <w:pStyle w:val="BodyText"/>
        <w:spacing w:line="267" w:lineRule="exact"/>
        <w:ind w:left="1340"/>
      </w:pPr>
      <w:r>
        <w:rPr/>
        <w:t>Includes IVDs for health posts, community health centres, doctors’ offices, outreach clinics and ambulatory care.</w:t>
      </w:r>
    </w:p>
    <w:p>
      <w:pPr>
        <w:pStyle w:val="BodyText"/>
        <w:ind w:left="1340" w:right="1098"/>
      </w:pPr>
      <w:r>
        <w:rPr/>
        <w:t>Typically, self-testing and rapid diagnostics tests are available, but there are either no laboratories, or only small laboratories with trained health care personnel but no trained laboratory technicians.</w:t>
      </w:r>
    </w:p>
    <w:p>
      <w:pPr>
        <w:pStyle w:val="BodyText"/>
        <w:ind w:left="1340"/>
      </w:pPr>
      <w:r>
        <w:rPr/>
        <w:t>In case laboratory facilities are available in a primary health care facility, please refer to the IVDs described in the next tier.</w:t>
      </w:r>
    </w:p>
    <w:p>
      <w:pPr>
        <w:pStyle w:val="BodyText"/>
        <w:ind w:left="1340"/>
      </w:pPr>
      <w:r>
        <w:rPr/>
        <w:pict>
          <v:group style="position:absolute;margin-left:490.029999pt;margin-top:55.853645pt;width:290.1pt;height:198.2pt;mso-position-horizontal-relative:page;mso-position-vertical-relative:paragraph;z-index:-124720" coordorigin="9801,1117" coordsize="5802,3964">
            <v:shape style="position:absolute;left:9810;top:1117;width:5793;height:392" coordorigin="9810,1117" coordsize="5793,392" path="m12211,1117l12107,1117,9913,1117,9810,1117,9810,1508,12211,1508,12211,1117m15602,1117l15509,1117,12324,1117,12220,1117,12220,1508,15602,1508,15602,1117e" filled="true" fillcolor="#e7e6e6" stroked="false">
              <v:path arrowok="t"/>
              <v:fill type="solid"/>
            </v:shape>
            <v:shape style="position:absolute;left:9800;top:1117;width:5802;height:1412" type="#_x0000_t75" stroked="false">
              <v:imagedata r:id="rId25" o:title=""/>
            </v:shape>
            <v:shape style="position:absolute;left:9800;top:2528;width:10;height:2552" type="#_x0000_t75" stroked="false">
              <v:imagedata r:id="rId26" o:title=""/>
            </v:shape>
            <v:shape style="position:absolute;left:12210;top:2528;width:10;height:2552" type="#_x0000_t75" stroked="false">
              <v:imagedata r:id="rId26" o:title=""/>
            </v:shape>
            <w10:wrap type="none"/>
          </v:group>
        </w:pict>
      </w:r>
      <w:r>
        <w:rPr/>
        <w:pict>
          <v:group style="position:absolute;margin-left:156.860001pt;margin-top:55.853645pt;width:.5pt;height:198.2pt;mso-position-horizontal-relative:page;mso-position-vertical-relative:paragraph;z-index:-124696" coordorigin="3137,1117" coordsize="10,3964">
            <v:shape style="position:absolute;left:3137;top:1117;width:10;height:401" type="#_x0000_t75" stroked="false">
              <v:imagedata r:id="rId27" o:title=""/>
            </v:shape>
            <v:shape style="position:absolute;left:3137;top:1517;width:10;height:1345" type="#_x0000_t75" stroked="false">
              <v:imagedata r:id="rId28" o:title=""/>
            </v:shape>
            <v:shape style="position:absolute;left:3137;top:2862;width:10;height:449" type="#_x0000_t75" stroked="false">
              <v:imagedata r:id="rId29" o:title=""/>
            </v:shape>
            <v:shape style="position:absolute;left:3137;top:3311;width:10;height:1770" type="#_x0000_t75" stroked="false">
              <v:imagedata r:id="rId30" o:title=""/>
            </v:shape>
            <w10:wrap type="none"/>
          </v:group>
        </w:pict>
      </w:r>
      <w:r>
        <w:rPr/>
        <w:pict>
          <v:group style="position:absolute;margin-left:249.050003pt;margin-top:55.853645pt;width:.5pt;height:198.2pt;mso-position-horizontal-relative:page;mso-position-vertical-relative:paragraph;z-index:-124672" coordorigin="4981,1117" coordsize="10,3964">
            <v:shape style="position:absolute;left:4981;top:1117;width:10;height:401" type="#_x0000_t75" stroked="false">
              <v:imagedata r:id="rId27" o:title=""/>
            </v:shape>
            <v:shape style="position:absolute;left:4981;top:1517;width:10;height:1345" type="#_x0000_t75" stroked="false">
              <v:imagedata r:id="rId28" o:title=""/>
            </v:shape>
            <v:shape style="position:absolute;left:4981;top:2862;width:10;height:449" type="#_x0000_t75" stroked="false">
              <v:imagedata r:id="rId31" o:title=""/>
            </v:shape>
            <v:shape style="position:absolute;left:4981;top:3311;width:10;height:1770" type="#_x0000_t75" stroked="false">
              <v:imagedata r:id="rId30" o:title=""/>
            </v:shape>
            <w10:wrap type="none"/>
          </v:group>
        </w:pict>
      </w:r>
      <w:r>
        <w:rPr/>
        <w:t>It should be noted that in some cases sampling can take place where there are no laboratories, and then processed in the next tier.</w:t>
      </w:r>
    </w:p>
    <w:p>
      <w:pPr>
        <w:pStyle w:val="BodyText"/>
        <w:spacing w:before="4"/>
      </w:pPr>
    </w:p>
    <w:tbl>
      <w:tblPr>
        <w:tblW w:w="0" w:type="auto"/>
        <w:jc w:val="left"/>
        <w:tblInd w:w="1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15"/>
        <w:gridCol w:w="1839"/>
        <w:gridCol w:w="4822"/>
        <w:gridCol w:w="2403"/>
        <w:gridCol w:w="3406"/>
      </w:tblGrid>
      <w:tr>
        <w:trPr>
          <w:trHeight w:val="536" w:hRule="atLeast"/>
        </w:trPr>
        <w:tc>
          <w:tcPr>
            <w:tcW w:w="14285" w:type="dxa"/>
            <w:gridSpan w:val="5"/>
            <w:tcBorders>
              <w:bottom w:val="single" w:sz="4" w:space="0" w:color="000000"/>
            </w:tcBorders>
            <w:shd w:val="clear" w:color="auto" w:fill="E7E6E6"/>
          </w:tcPr>
          <w:p>
            <w:pPr>
              <w:pStyle w:val="TableParagraph"/>
              <w:spacing w:line="265" w:lineRule="exact"/>
              <w:ind w:left="107"/>
              <w:rPr>
                <w:b/>
                <w:sz w:val="22"/>
              </w:rPr>
            </w:pPr>
            <w:bookmarkStart w:name="_bookmark4" w:id="6"/>
            <w:bookmarkEnd w:id="6"/>
            <w:r>
              <w:rPr/>
            </w:r>
            <w:r>
              <w:rPr>
                <w:b/>
                <w:sz w:val="22"/>
              </w:rPr>
              <w:t>I.a General IVDs for primary health care</w:t>
            </w:r>
          </w:p>
          <w:p>
            <w:pPr>
              <w:pStyle w:val="TableParagraph"/>
              <w:spacing w:line="252" w:lineRule="exact"/>
              <w:ind w:left="107"/>
              <w:rPr>
                <w:sz w:val="22"/>
              </w:rPr>
            </w:pPr>
            <w:r>
              <w:rPr>
                <w:sz w:val="22"/>
              </w:rPr>
              <w:t>Note: See list of WHO supporting documents at the end.</w:t>
            </w:r>
          </w:p>
        </w:tc>
      </w:tr>
      <w:tr>
        <w:trPr>
          <w:trHeight w:val="390" w:hRule="atLeast"/>
        </w:trPr>
        <w:tc>
          <w:tcPr>
            <w:tcW w:w="1815" w:type="dxa"/>
            <w:tcBorders>
              <w:top w:val="single" w:sz="4" w:space="0" w:color="000000"/>
              <w:bottom w:val="single" w:sz="4" w:space="0" w:color="000000"/>
              <w:right w:val="nil"/>
            </w:tcBorders>
            <w:shd w:val="clear" w:color="auto" w:fill="E7E6E6"/>
          </w:tcPr>
          <w:p>
            <w:pPr>
              <w:pStyle w:val="TableParagraph"/>
              <w:rPr>
                <w:rFonts w:ascii="Times New Roman"/>
                <w:sz w:val="20"/>
              </w:rPr>
            </w:pPr>
          </w:p>
        </w:tc>
        <w:tc>
          <w:tcPr>
            <w:tcW w:w="1839" w:type="dxa"/>
            <w:tcBorders>
              <w:top w:val="single" w:sz="4" w:space="0" w:color="000000"/>
              <w:left w:val="nil"/>
              <w:bottom w:val="single" w:sz="4" w:space="0" w:color="000000"/>
              <w:right w:val="nil"/>
            </w:tcBorders>
            <w:shd w:val="clear" w:color="auto" w:fill="E7E6E6"/>
          </w:tcPr>
          <w:p>
            <w:pPr>
              <w:pStyle w:val="TableParagraph"/>
              <w:spacing w:line="194" w:lineRule="exact"/>
              <w:ind w:left="117"/>
              <w:rPr>
                <w:b/>
                <w:sz w:val="16"/>
              </w:rPr>
            </w:pPr>
            <w:r>
              <w:rPr>
                <w:b/>
                <w:sz w:val="16"/>
              </w:rPr>
              <w:t>Diagnostic test</w:t>
            </w:r>
          </w:p>
        </w:tc>
        <w:tc>
          <w:tcPr>
            <w:tcW w:w="4822" w:type="dxa"/>
            <w:tcBorders>
              <w:top w:val="single" w:sz="4" w:space="0" w:color="000000"/>
              <w:left w:val="nil"/>
              <w:bottom w:val="single" w:sz="4" w:space="0" w:color="000000"/>
              <w:right w:val="nil"/>
            </w:tcBorders>
            <w:shd w:val="clear" w:color="auto" w:fill="E7E6E6"/>
          </w:tcPr>
          <w:p>
            <w:pPr>
              <w:pStyle w:val="TableParagraph"/>
              <w:spacing w:line="194" w:lineRule="exact"/>
              <w:ind w:left="122"/>
              <w:rPr>
                <w:b/>
                <w:sz w:val="16"/>
              </w:rPr>
            </w:pPr>
            <w:r>
              <w:rPr>
                <w:b/>
                <w:sz w:val="16"/>
              </w:rPr>
              <w:t>Test purpose</w:t>
            </w:r>
          </w:p>
        </w:tc>
        <w:tc>
          <w:tcPr>
            <w:tcW w:w="2403" w:type="dxa"/>
            <w:tcBorders>
              <w:top w:val="single" w:sz="4" w:space="0" w:color="000000"/>
              <w:left w:val="nil"/>
              <w:bottom w:val="single" w:sz="4" w:space="0" w:color="000000"/>
              <w:right w:val="nil"/>
            </w:tcBorders>
          </w:tcPr>
          <w:p>
            <w:pPr>
              <w:pStyle w:val="TableParagraph"/>
              <w:spacing w:line="194" w:lineRule="exact"/>
              <w:ind w:left="119"/>
              <w:rPr>
                <w:b/>
                <w:sz w:val="16"/>
              </w:rPr>
            </w:pPr>
            <w:r>
              <w:rPr>
                <w:b/>
                <w:sz w:val="16"/>
              </w:rPr>
              <w:t>Assay format</w:t>
            </w:r>
          </w:p>
        </w:tc>
        <w:tc>
          <w:tcPr>
            <w:tcW w:w="3406" w:type="dxa"/>
            <w:tcBorders>
              <w:top w:val="single" w:sz="4" w:space="0" w:color="000000"/>
              <w:left w:val="nil"/>
              <w:bottom w:val="single" w:sz="4" w:space="0" w:color="000000"/>
            </w:tcBorders>
          </w:tcPr>
          <w:p>
            <w:pPr>
              <w:pStyle w:val="TableParagraph"/>
              <w:spacing w:line="194" w:lineRule="exact"/>
              <w:ind w:left="127"/>
              <w:rPr>
                <w:b/>
                <w:sz w:val="16"/>
              </w:rPr>
            </w:pPr>
            <w:r>
              <w:rPr>
                <w:b/>
                <w:sz w:val="16"/>
              </w:rPr>
              <w:t>Specimen type</w:t>
            </w:r>
          </w:p>
        </w:tc>
      </w:tr>
      <w:tr>
        <w:trPr>
          <w:trHeight w:val="955" w:hRule="atLeast"/>
        </w:trPr>
        <w:tc>
          <w:tcPr>
            <w:tcW w:w="1815" w:type="dxa"/>
            <w:vMerge w:val="restart"/>
            <w:tcBorders>
              <w:top w:val="single" w:sz="4" w:space="0" w:color="000000"/>
              <w:bottom w:val="single" w:sz="4" w:space="0" w:color="000000"/>
              <w:right w:val="nil"/>
            </w:tcBorders>
          </w:tcPr>
          <w:p>
            <w:pPr>
              <w:pStyle w:val="TableParagraph"/>
              <w:spacing w:line="219" w:lineRule="exact"/>
              <w:ind w:left="107"/>
              <w:rPr>
                <w:sz w:val="18"/>
              </w:rPr>
            </w:pPr>
            <w:r>
              <w:rPr>
                <w:sz w:val="18"/>
              </w:rPr>
              <w:t>Haematology</w:t>
            </w:r>
          </w:p>
        </w:tc>
        <w:tc>
          <w:tcPr>
            <w:tcW w:w="1839" w:type="dxa"/>
            <w:tcBorders>
              <w:top w:val="single" w:sz="4" w:space="0" w:color="000000"/>
              <w:left w:val="nil"/>
              <w:bottom w:val="nil"/>
              <w:right w:val="nil"/>
            </w:tcBorders>
          </w:tcPr>
          <w:p>
            <w:pPr>
              <w:pStyle w:val="TableParagraph"/>
              <w:spacing w:line="219" w:lineRule="exact"/>
              <w:ind w:left="117"/>
              <w:rPr>
                <w:sz w:val="18"/>
              </w:rPr>
            </w:pPr>
            <w:r>
              <w:rPr>
                <w:sz w:val="18"/>
              </w:rPr>
              <w:t>Haemoglobin (Hb)</w:t>
            </w:r>
          </w:p>
        </w:tc>
        <w:tc>
          <w:tcPr>
            <w:tcW w:w="4822" w:type="dxa"/>
            <w:vMerge w:val="restart"/>
            <w:tcBorders>
              <w:top w:val="single" w:sz="4" w:space="0" w:color="000000"/>
              <w:left w:val="nil"/>
              <w:bottom w:val="single" w:sz="4" w:space="0" w:color="000000"/>
              <w:right w:val="nil"/>
            </w:tcBorders>
          </w:tcPr>
          <w:p>
            <w:pPr>
              <w:pStyle w:val="TableParagraph"/>
              <w:spacing w:line="219" w:lineRule="exact"/>
              <w:ind w:left="122"/>
              <w:rPr>
                <w:sz w:val="18"/>
              </w:rPr>
            </w:pPr>
            <w:r>
              <w:rPr>
                <w:sz w:val="18"/>
              </w:rPr>
              <w:t>Diagnosis and monitoring of anaemia</w:t>
            </w:r>
          </w:p>
          <w:p>
            <w:pPr>
              <w:pStyle w:val="TableParagraph"/>
              <w:spacing w:before="1"/>
              <w:ind w:left="122"/>
              <w:rPr>
                <w:sz w:val="18"/>
              </w:rPr>
            </w:pPr>
            <w:r>
              <w:rPr>
                <w:sz w:val="18"/>
              </w:rPr>
              <w:t>Key clinical marker for severe infections (i.e. malaria, dengue, VHFs)</w:t>
            </w:r>
          </w:p>
          <w:p>
            <w:pPr>
              <w:pStyle w:val="TableParagraph"/>
              <w:ind w:left="122" w:right="112"/>
              <w:rPr>
                <w:sz w:val="18"/>
              </w:rPr>
            </w:pPr>
            <w:r>
              <w:rPr>
                <w:sz w:val="18"/>
              </w:rPr>
              <w:t>Safety monitoring when using certain drugs (e.g. Zidovudine for HIV)</w:t>
            </w:r>
          </w:p>
        </w:tc>
        <w:tc>
          <w:tcPr>
            <w:tcW w:w="2403" w:type="dxa"/>
            <w:tcBorders>
              <w:top w:val="single" w:sz="4" w:space="0" w:color="000000"/>
              <w:left w:val="nil"/>
              <w:bottom w:val="nil"/>
              <w:right w:val="nil"/>
            </w:tcBorders>
          </w:tcPr>
          <w:p>
            <w:pPr>
              <w:pStyle w:val="TableParagraph"/>
              <w:spacing w:line="219" w:lineRule="exact"/>
              <w:ind w:left="119"/>
              <w:rPr>
                <w:sz w:val="18"/>
              </w:rPr>
            </w:pPr>
            <w:r>
              <w:rPr>
                <w:sz w:val="18"/>
              </w:rPr>
              <w:t>Haemoglobinometer</w:t>
            </w:r>
          </w:p>
        </w:tc>
        <w:tc>
          <w:tcPr>
            <w:tcW w:w="3406" w:type="dxa"/>
            <w:tcBorders>
              <w:top w:val="single" w:sz="4" w:space="0" w:color="000000"/>
              <w:left w:val="nil"/>
              <w:bottom w:val="nil"/>
            </w:tcBorders>
          </w:tcPr>
          <w:p>
            <w:pPr>
              <w:pStyle w:val="TableParagraph"/>
              <w:ind w:left="127" w:right="1662"/>
              <w:rPr>
                <w:sz w:val="18"/>
              </w:rPr>
            </w:pPr>
            <w:r>
              <w:rPr>
                <w:sz w:val="18"/>
              </w:rPr>
              <w:t>Capillary whole blood Venous whole blood Serum</w:t>
            </w:r>
          </w:p>
          <w:p>
            <w:pPr>
              <w:pStyle w:val="TableParagraph"/>
              <w:ind w:left="127"/>
              <w:rPr>
                <w:sz w:val="18"/>
              </w:rPr>
            </w:pPr>
            <w:r>
              <w:rPr>
                <w:sz w:val="18"/>
              </w:rPr>
              <w:t>Plasma</w:t>
            </w:r>
          </w:p>
        </w:tc>
      </w:tr>
      <w:tr>
        <w:trPr>
          <w:trHeight w:val="368" w:hRule="atLeast"/>
        </w:trPr>
        <w:tc>
          <w:tcPr>
            <w:tcW w:w="1815" w:type="dxa"/>
            <w:vMerge/>
            <w:tcBorders>
              <w:top w:val="nil"/>
              <w:bottom w:val="single" w:sz="4" w:space="0" w:color="000000"/>
              <w:right w:val="nil"/>
            </w:tcBorders>
          </w:tcPr>
          <w:p>
            <w:pPr>
              <w:rPr>
                <w:sz w:val="2"/>
                <w:szCs w:val="2"/>
              </w:rPr>
            </w:pPr>
          </w:p>
        </w:tc>
        <w:tc>
          <w:tcPr>
            <w:tcW w:w="1839" w:type="dxa"/>
            <w:tcBorders>
              <w:top w:val="nil"/>
              <w:left w:val="nil"/>
              <w:bottom w:val="single" w:sz="4" w:space="0" w:color="000000"/>
              <w:right w:val="nil"/>
            </w:tcBorders>
          </w:tcPr>
          <w:p>
            <w:pPr>
              <w:pStyle w:val="TableParagraph"/>
              <w:rPr>
                <w:rFonts w:ascii="Times New Roman"/>
                <w:sz w:val="20"/>
              </w:rPr>
            </w:pPr>
          </w:p>
        </w:tc>
        <w:tc>
          <w:tcPr>
            <w:tcW w:w="4822" w:type="dxa"/>
            <w:vMerge/>
            <w:tcBorders>
              <w:top w:val="nil"/>
              <w:left w:val="nil"/>
              <w:bottom w:val="single" w:sz="4" w:space="0" w:color="000000"/>
              <w:right w:val="nil"/>
            </w:tcBorders>
          </w:tcPr>
          <w:p>
            <w:pPr>
              <w:rPr>
                <w:sz w:val="2"/>
                <w:szCs w:val="2"/>
              </w:rPr>
            </w:pPr>
          </w:p>
        </w:tc>
        <w:tc>
          <w:tcPr>
            <w:tcW w:w="2403" w:type="dxa"/>
            <w:tcBorders>
              <w:top w:val="nil"/>
              <w:left w:val="nil"/>
              <w:bottom w:val="single" w:sz="4" w:space="0" w:color="000000"/>
              <w:right w:val="nil"/>
            </w:tcBorders>
          </w:tcPr>
          <w:p>
            <w:pPr>
              <w:pStyle w:val="TableParagraph"/>
              <w:spacing w:before="44"/>
              <w:ind w:left="119"/>
              <w:rPr>
                <w:sz w:val="18"/>
              </w:rPr>
            </w:pPr>
            <w:r>
              <w:rPr>
                <w:sz w:val="18"/>
              </w:rPr>
              <w:t>Dipstick</w:t>
            </w:r>
          </w:p>
        </w:tc>
        <w:tc>
          <w:tcPr>
            <w:tcW w:w="3406" w:type="dxa"/>
            <w:tcBorders>
              <w:top w:val="nil"/>
              <w:left w:val="nil"/>
              <w:bottom w:val="single" w:sz="4" w:space="0" w:color="000000"/>
            </w:tcBorders>
          </w:tcPr>
          <w:p>
            <w:pPr>
              <w:pStyle w:val="TableParagraph"/>
              <w:spacing w:before="44"/>
              <w:ind w:left="127"/>
              <w:rPr>
                <w:sz w:val="18"/>
              </w:rPr>
            </w:pPr>
            <w:r>
              <w:rPr>
                <w:sz w:val="18"/>
              </w:rPr>
              <w:t>Urine</w:t>
            </w:r>
          </w:p>
        </w:tc>
      </w:tr>
      <w:tr>
        <w:trPr>
          <w:trHeight w:val="438" w:hRule="atLeast"/>
        </w:trPr>
        <w:tc>
          <w:tcPr>
            <w:tcW w:w="1815" w:type="dxa"/>
            <w:vMerge/>
            <w:tcBorders>
              <w:top w:val="nil"/>
              <w:bottom w:val="single" w:sz="4" w:space="0" w:color="000000"/>
              <w:right w:val="nil"/>
            </w:tcBorders>
          </w:tcPr>
          <w:p>
            <w:pPr>
              <w:rPr>
                <w:sz w:val="2"/>
                <w:szCs w:val="2"/>
              </w:rPr>
            </w:pPr>
          </w:p>
        </w:tc>
        <w:tc>
          <w:tcPr>
            <w:tcW w:w="1839" w:type="dxa"/>
            <w:tcBorders>
              <w:top w:val="single" w:sz="4" w:space="0" w:color="000000"/>
              <w:left w:val="nil"/>
              <w:bottom w:val="single" w:sz="4" w:space="0" w:color="000000"/>
              <w:right w:val="nil"/>
            </w:tcBorders>
          </w:tcPr>
          <w:p>
            <w:pPr>
              <w:pStyle w:val="TableParagraph"/>
              <w:spacing w:line="219" w:lineRule="exact"/>
              <w:ind w:left="117"/>
              <w:rPr>
                <w:sz w:val="18"/>
              </w:rPr>
            </w:pPr>
            <w:r>
              <w:rPr>
                <w:sz w:val="18"/>
              </w:rPr>
              <w:t>White blood cell</w:t>
            </w:r>
          </w:p>
          <w:p>
            <w:pPr>
              <w:pStyle w:val="TableParagraph"/>
              <w:spacing w:line="199" w:lineRule="exact" w:before="1"/>
              <w:ind w:left="117"/>
              <w:rPr>
                <w:sz w:val="18"/>
              </w:rPr>
            </w:pPr>
            <w:r>
              <w:rPr>
                <w:sz w:val="18"/>
              </w:rPr>
              <w:t>count</w:t>
            </w:r>
          </w:p>
        </w:tc>
        <w:tc>
          <w:tcPr>
            <w:tcW w:w="4822" w:type="dxa"/>
            <w:tcBorders>
              <w:top w:val="single" w:sz="4" w:space="0" w:color="000000"/>
              <w:left w:val="nil"/>
              <w:bottom w:val="single" w:sz="4" w:space="0" w:color="000000"/>
              <w:right w:val="nil"/>
            </w:tcBorders>
          </w:tcPr>
          <w:p>
            <w:pPr>
              <w:pStyle w:val="TableParagraph"/>
              <w:spacing w:line="219" w:lineRule="exact"/>
              <w:ind w:left="122"/>
              <w:rPr>
                <w:sz w:val="18"/>
              </w:rPr>
            </w:pPr>
            <w:r>
              <w:rPr>
                <w:sz w:val="18"/>
              </w:rPr>
              <w:t>Surrogate marker for certain infections, inflammation or</w:t>
            </w:r>
          </w:p>
          <w:p>
            <w:pPr>
              <w:pStyle w:val="TableParagraph"/>
              <w:spacing w:line="199" w:lineRule="exact" w:before="1"/>
              <w:ind w:left="122"/>
              <w:rPr>
                <w:sz w:val="18"/>
              </w:rPr>
            </w:pPr>
            <w:r>
              <w:rPr>
                <w:sz w:val="18"/>
              </w:rPr>
              <w:t>certain cancers (e.g. leukaemia)</w:t>
            </w:r>
          </w:p>
        </w:tc>
        <w:tc>
          <w:tcPr>
            <w:tcW w:w="2403" w:type="dxa"/>
            <w:tcBorders>
              <w:top w:val="single" w:sz="4" w:space="0" w:color="000000"/>
              <w:left w:val="nil"/>
              <w:bottom w:val="single" w:sz="4" w:space="0" w:color="000000"/>
              <w:right w:val="nil"/>
            </w:tcBorders>
          </w:tcPr>
          <w:p>
            <w:pPr>
              <w:pStyle w:val="TableParagraph"/>
              <w:spacing w:line="219" w:lineRule="exact"/>
              <w:ind w:left="119"/>
              <w:rPr>
                <w:sz w:val="18"/>
              </w:rPr>
            </w:pPr>
            <w:r>
              <w:rPr>
                <w:sz w:val="18"/>
              </w:rPr>
              <w:t>Haematology analyser</w:t>
            </w:r>
          </w:p>
        </w:tc>
        <w:tc>
          <w:tcPr>
            <w:tcW w:w="3406" w:type="dxa"/>
            <w:tcBorders>
              <w:top w:val="single" w:sz="4" w:space="0" w:color="000000"/>
              <w:left w:val="nil"/>
              <w:bottom w:val="single" w:sz="4" w:space="0" w:color="000000"/>
            </w:tcBorders>
          </w:tcPr>
          <w:p>
            <w:pPr>
              <w:pStyle w:val="TableParagraph"/>
              <w:spacing w:line="219" w:lineRule="exact"/>
              <w:ind w:left="127"/>
              <w:rPr>
                <w:sz w:val="18"/>
              </w:rPr>
            </w:pPr>
            <w:r>
              <w:rPr>
                <w:sz w:val="18"/>
              </w:rPr>
              <w:t>Capillary whole blood</w:t>
            </w:r>
          </w:p>
          <w:p>
            <w:pPr>
              <w:pStyle w:val="TableParagraph"/>
              <w:spacing w:line="199" w:lineRule="exact" w:before="1"/>
              <w:ind w:left="127"/>
              <w:rPr>
                <w:sz w:val="18"/>
              </w:rPr>
            </w:pPr>
            <w:r>
              <w:rPr>
                <w:sz w:val="18"/>
              </w:rPr>
              <w:t>Venous whole blood</w:t>
            </w:r>
          </w:p>
        </w:tc>
      </w:tr>
      <w:tr>
        <w:trPr>
          <w:trHeight w:val="1320" w:hRule="atLeast"/>
        </w:trPr>
        <w:tc>
          <w:tcPr>
            <w:tcW w:w="1815" w:type="dxa"/>
            <w:vMerge/>
            <w:tcBorders>
              <w:top w:val="nil"/>
              <w:bottom w:val="single" w:sz="4" w:space="0" w:color="000000"/>
              <w:right w:val="nil"/>
            </w:tcBorders>
          </w:tcPr>
          <w:p>
            <w:pPr>
              <w:rPr>
                <w:sz w:val="2"/>
                <w:szCs w:val="2"/>
              </w:rPr>
            </w:pPr>
          </w:p>
        </w:tc>
        <w:tc>
          <w:tcPr>
            <w:tcW w:w="1839" w:type="dxa"/>
            <w:tcBorders>
              <w:top w:val="single" w:sz="4" w:space="0" w:color="000000"/>
              <w:left w:val="nil"/>
              <w:bottom w:val="nil"/>
              <w:right w:val="nil"/>
            </w:tcBorders>
          </w:tcPr>
          <w:p>
            <w:pPr>
              <w:pStyle w:val="TableParagraph"/>
              <w:spacing w:before="1"/>
              <w:ind w:left="117" w:right="238"/>
              <w:rPr>
                <w:sz w:val="18"/>
              </w:rPr>
            </w:pPr>
            <w:r>
              <w:rPr>
                <w:sz w:val="18"/>
              </w:rPr>
              <w:t>CBC manual (only as back-up to automated method)</w:t>
            </w:r>
          </w:p>
        </w:tc>
        <w:tc>
          <w:tcPr>
            <w:tcW w:w="4822" w:type="dxa"/>
            <w:tcBorders>
              <w:top w:val="single" w:sz="4" w:space="0" w:color="000000"/>
              <w:left w:val="nil"/>
              <w:bottom w:val="nil"/>
              <w:right w:val="nil"/>
            </w:tcBorders>
          </w:tcPr>
          <w:p>
            <w:pPr>
              <w:pStyle w:val="TableParagraph"/>
              <w:spacing w:before="1"/>
              <w:ind w:left="122"/>
              <w:rPr>
                <w:sz w:val="18"/>
              </w:rPr>
            </w:pPr>
            <w:r>
              <w:rPr>
                <w:sz w:val="18"/>
              </w:rPr>
              <w:t>To detect anaemia, infections and leukaemia</w:t>
            </w:r>
          </w:p>
        </w:tc>
        <w:tc>
          <w:tcPr>
            <w:tcW w:w="2403" w:type="dxa"/>
            <w:tcBorders>
              <w:top w:val="single" w:sz="4" w:space="0" w:color="000000"/>
              <w:left w:val="nil"/>
              <w:bottom w:val="single" w:sz="4" w:space="0" w:color="000000"/>
              <w:right w:val="nil"/>
            </w:tcBorders>
          </w:tcPr>
          <w:p>
            <w:pPr>
              <w:pStyle w:val="TableParagraph"/>
              <w:spacing w:before="1"/>
              <w:ind w:left="119" w:right="292"/>
              <w:rPr>
                <w:sz w:val="18"/>
              </w:rPr>
            </w:pPr>
            <w:r>
              <w:rPr>
                <w:sz w:val="18"/>
              </w:rPr>
              <w:t>Haemocytometer (to measure WBC) and Wright, May-Grünwald or Giemsa stain (for differential detection of parasites,</w:t>
            </w:r>
          </w:p>
          <w:p>
            <w:pPr>
              <w:pStyle w:val="TableParagraph"/>
              <w:spacing w:line="200" w:lineRule="exact"/>
              <w:ind w:left="119"/>
              <w:rPr>
                <w:sz w:val="18"/>
              </w:rPr>
            </w:pPr>
            <w:r>
              <w:rPr>
                <w:sz w:val="18"/>
              </w:rPr>
              <w:t>malignant cells)</w:t>
            </w:r>
          </w:p>
        </w:tc>
        <w:tc>
          <w:tcPr>
            <w:tcW w:w="3406" w:type="dxa"/>
            <w:tcBorders>
              <w:top w:val="single" w:sz="4" w:space="0" w:color="000000"/>
              <w:left w:val="nil"/>
              <w:bottom w:val="single" w:sz="4" w:space="0" w:color="000000"/>
            </w:tcBorders>
          </w:tcPr>
          <w:p>
            <w:pPr>
              <w:pStyle w:val="TableParagraph"/>
              <w:spacing w:before="1"/>
              <w:ind w:left="127" w:right="1662"/>
              <w:rPr>
                <w:sz w:val="18"/>
              </w:rPr>
            </w:pPr>
            <w:r>
              <w:rPr>
                <w:sz w:val="18"/>
              </w:rPr>
              <w:t>Capillary whole blood Venous whole blood</w:t>
            </w:r>
          </w:p>
        </w:tc>
      </w:tr>
      <w:tr>
        <w:trPr>
          <w:trHeight w:val="438" w:hRule="atLeast"/>
        </w:trPr>
        <w:tc>
          <w:tcPr>
            <w:tcW w:w="1815" w:type="dxa"/>
            <w:vMerge/>
            <w:tcBorders>
              <w:top w:val="nil"/>
              <w:bottom w:val="single" w:sz="4" w:space="0" w:color="000000"/>
              <w:right w:val="nil"/>
            </w:tcBorders>
          </w:tcPr>
          <w:p>
            <w:pPr>
              <w:rPr>
                <w:sz w:val="2"/>
                <w:szCs w:val="2"/>
              </w:rPr>
            </w:pPr>
          </w:p>
        </w:tc>
        <w:tc>
          <w:tcPr>
            <w:tcW w:w="1839" w:type="dxa"/>
            <w:tcBorders>
              <w:top w:val="nil"/>
              <w:left w:val="nil"/>
              <w:bottom w:val="single" w:sz="4" w:space="0" w:color="000000"/>
              <w:right w:val="nil"/>
            </w:tcBorders>
          </w:tcPr>
          <w:p>
            <w:pPr>
              <w:pStyle w:val="TableParagraph"/>
              <w:rPr>
                <w:rFonts w:ascii="Times New Roman"/>
                <w:sz w:val="20"/>
              </w:rPr>
            </w:pPr>
          </w:p>
        </w:tc>
        <w:tc>
          <w:tcPr>
            <w:tcW w:w="4822" w:type="dxa"/>
            <w:tcBorders>
              <w:top w:val="nil"/>
              <w:left w:val="nil"/>
              <w:bottom w:val="single" w:sz="4" w:space="0" w:color="000000"/>
              <w:right w:val="nil"/>
            </w:tcBorders>
          </w:tcPr>
          <w:p>
            <w:pPr>
              <w:pStyle w:val="TableParagraph"/>
              <w:rPr>
                <w:rFonts w:ascii="Times New Roman"/>
                <w:sz w:val="20"/>
              </w:rPr>
            </w:pPr>
          </w:p>
        </w:tc>
        <w:tc>
          <w:tcPr>
            <w:tcW w:w="2403" w:type="dxa"/>
            <w:tcBorders>
              <w:top w:val="single" w:sz="4" w:space="0" w:color="000000"/>
              <w:left w:val="nil"/>
              <w:bottom w:val="single" w:sz="4" w:space="0" w:color="000000"/>
              <w:right w:val="nil"/>
            </w:tcBorders>
          </w:tcPr>
          <w:p>
            <w:pPr>
              <w:pStyle w:val="TableParagraph"/>
              <w:spacing w:line="219" w:lineRule="exact"/>
              <w:ind w:left="119"/>
              <w:rPr>
                <w:sz w:val="18"/>
              </w:rPr>
            </w:pPr>
            <w:r>
              <w:rPr>
                <w:sz w:val="18"/>
              </w:rPr>
              <w:t>Peripheral blood film</w:t>
            </w:r>
          </w:p>
          <w:p>
            <w:pPr>
              <w:pStyle w:val="TableParagraph"/>
              <w:spacing w:line="199" w:lineRule="exact" w:before="1"/>
              <w:ind w:left="119"/>
              <w:rPr>
                <w:sz w:val="18"/>
              </w:rPr>
            </w:pPr>
            <w:r>
              <w:rPr>
                <w:sz w:val="18"/>
              </w:rPr>
              <w:t>examination</w:t>
            </w:r>
          </w:p>
        </w:tc>
        <w:tc>
          <w:tcPr>
            <w:tcW w:w="3406" w:type="dxa"/>
            <w:tcBorders>
              <w:top w:val="single" w:sz="4" w:space="0" w:color="000000"/>
              <w:left w:val="nil"/>
              <w:bottom w:val="single" w:sz="4" w:space="0" w:color="000000"/>
            </w:tcBorders>
          </w:tcPr>
          <w:p>
            <w:pPr>
              <w:pStyle w:val="TableParagraph"/>
              <w:spacing w:line="219" w:lineRule="exact"/>
              <w:ind w:left="127"/>
              <w:rPr>
                <w:sz w:val="18"/>
              </w:rPr>
            </w:pPr>
            <w:r>
              <w:rPr>
                <w:sz w:val="18"/>
              </w:rPr>
              <w:t>Capillary whole blood</w:t>
            </w:r>
          </w:p>
          <w:p>
            <w:pPr>
              <w:pStyle w:val="TableParagraph"/>
              <w:spacing w:line="199" w:lineRule="exact" w:before="1"/>
              <w:ind w:left="127"/>
              <w:rPr>
                <w:sz w:val="18"/>
              </w:rPr>
            </w:pPr>
            <w:r>
              <w:rPr>
                <w:sz w:val="18"/>
              </w:rPr>
              <w:t>Venous whole blood</w:t>
            </w:r>
          </w:p>
        </w:tc>
      </w:tr>
    </w:tbl>
    <w:p>
      <w:pPr>
        <w:spacing w:after="0" w:line="199" w:lineRule="exact"/>
        <w:rPr>
          <w:sz w:val="18"/>
        </w:rPr>
        <w:sectPr>
          <w:headerReference w:type="default" r:id="rId23"/>
          <w:footerReference w:type="default" r:id="rId24"/>
          <w:pgSz w:w="16840" w:h="11910" w:orient="landscape"/>
          <w:pgMar w:header="0" w:footer="495" w:top="1100" w:bottom="680" w:left="1180" w:right="920"/>
          <w:pgNumType w:start="10"/>
        </w:sectPr>
      </w:pPr>
    </w:p>
    <w:p>
      <w:pPr>
        <w:pStyle w:val="BodyText"/>
        <w:rPr>
          <w:rFonts w:ascii="Times New Roman"/>
          <w:sz w:val="29"/>
        </w:rPr>
      </w:pPr>
      <w:r>
        <w:rPr/>
        <w:pict>
          <v:group style="position:absolute;margin-left:490.029999pt;margin-top:99.62001pt;width:291.55pt;height:76.5pt;mso-position-horizontal-relative:page;mso-position-vertical-relative:page;z-index:-124624" coordorigin="9801,1992" coordsize="5831,1530">
            <v:shape style="position:absolute;left:9800;top:1992;width:10;height:392" type="#_x0000_t75" stroked="false">
              <v:imagedata r:id="rId34" o:title=""/>
            </v:shape>
            <v:shape style="position:absolute;left:9800;top:2383;width:10;height:231" type="#_x0000_t75" stroked="false">
              <v:imagedata r:id="rId35" o:title=""/>
            </v:shape>
            <v:shape style="position:absolute;left:9800;top:2614;width:10;height:449" type="#_x0000_t75" stroked="false">
              <v:imagedata r:id="rId36" o:title=""/>
            </v:shape>
            <v:shape style="position:absolute;left:12494;top:2401;width:10;height:223" type="#_x0000_t75" stroked="false">
              <v:imagedata r:id="rId37" o:title=""/>
            </v:shape>
            <v:shape style="position:absolute;left:12494;top:2623;width:10;height:449" type="#_x0000_t75" stroked="false">
              <v:imagedata r:id="rId38" o:title=""/>
            </v:shape>
            <v:shape style="position:absolute;left:9800;top:3062;width:5831;height:459" type="#_x0000_t75" stroked="false">
              <v:imagedata r:id="rId39" o:title=""/>
            </v:shape>
            <w10:wrap type="none"/>
          </v:group>
        </w:pict>
      </w:r>
      <w:r>
        <w:rPr/>
        <w:drawing>
          <wp:anchor distT="0" distB="0" distL="0" distR="0" allowOverlap="1" layoutInCell="1" locked="0" behindDoc="1" simplePos="0" relativeHeight="268310855">
            <wp:simplePos x="0" y="0"/>
            <wp:positionH relativeFrom="page">
              <wp:posOffset>3178175</wp:posOffset>
            </wp:positionH>
            <wp:positionV relativeFrom="page">
              <wp:posOffset>1265174</wp:posOffset>
            </wp:positionV>
            <wp:extent cx="6132" cy="256032"/>
            <wp:effectExtent l="0" t="0" r="0" b="0"/>
            <wp:wrapNone/>
            <wp:docPr id="7" name="image17.png" descr=""/>
            <wp:cNvGraphicFramePr>
              <a:graphicFrameLocks noChangeAspect="1"/>
            </wp:cNvGraphicFramePr>
            <a:graphic>
              <a:graphicData uri="http://schemas.openxmlformats.org/drawingml/2006/picture">
                <pic:pic>
                  <pic:nvPicPr>
                    <pic:cNvPr id="8" name="image17.png"/>
                    <pic:cNvPicPr/>
                  </pic:nvPicPr>
                  <pic:blipFill>
                    <a:blip r:embed="rId40" cstate="print"/>
                    <a:stretch>
                      <a:fillRect/>
                    </a:stretch>
                  </pic:blipFill>
                  <pic:spPr>
                    <a:xfrm>
                      <a:off x="0" y="0"/>
                      <a:ext cx="6132" cy="256032"/>
                    </a:xfrm>
                    <a:prstGeom prst="rect">
                      <a:avLst/>
                    </a:prstGeom>
                  </pic:spPr>
                </pic:pic>
              </a:graphicData>
            </a:graphic>
          </wp:anchor>
        </w:drawing>
      </w:r>
      <w:r>
        <w:rPr/>
        <w:drawing>
          <wp:anchor distT="0" distB="0" distL="0" distR="0" allowOverlap="1" layoutInCell="1" locked="0" behindDoc="1" simplePos="0" relativeHeight="268310879">
            <wp:simplePos x="0" y="0"/>
            <wp:positionH relativeFrom="page">
              <wp:posOffset>7933690</wp:posOffset>
            </wp:positionH>
            <wp:positionV relativeFrom="page">
              <wp:posOffset>1265174</wp:posOffset>
            </wp:positionV>
            <wp:extent cx="6133" cy="256032"/>
            <wp:effectExtent l="0" t="0" r="0" b="0"/>
            <wp:wrapNone/>
            <wp:docPr id="9" name="image17.png" descr=""/>
            <wp:cNvGraphicFramePr>
              <a:graphicFrameLocks noChangeAspect="1"/>
            </wp:cNvGraphicFramePr>
            <a:graphic>
              <a:graphicData uri="http://schemas.openxmlformats.org/drawingml/2006/picture">
                <pic:pic>
                  <pic:nvPicPr>
                    <pic:cNvPr id="10" name="image17.png"/>
                    <pic:cNvPicPr/>
                  </pic:nvPicPr>
                  <pic:blipFill>
                    <a:blip r:embed="rId40" cstate="print"/>
                    <a:stretch>
                      <a:fillRect/>
                    </a:stretch>
                  </pic:blipFill>
                  <pic:spPr>
                    <a:xfrm>
                      <a:off x="0" y="0"/>
                      <a:ext cx="6133" cy="256032"/>
                    </a:xfrm>
                    <a:prstGeom prst="rect">
                      <a:avLst/>
                    </a:prstGeom>
                  </pic:spPr>
                </pic:pic>
              </a:graphicData>
            </a:graphic>
          </wp:anchor>
        </w:drawing>
      </w:r>
      <w:r>
        <w:rPr/>
        <w:pict>
          <v:group style="position:absolute;margin-left:158.300003pt;margin-top:119.660004pt;width:.5pt;height:73.25pt;mso-position-horizontal-relative:page;mso-position-vertical-relative:page;z-index:-124552" coordorigin="3166,2393" coordsize="10,1465">
            <v:shape style="position:absolute;left:3166;top:2393;width:10;height:231" type="#_x0000_t75" stroked="false">
              <v:imagedata r:id="rId41" o:title=""/>
            </v:shape>
            <v:shape style="position:absolute;left:3166;top:2623;width:10;height:449" type="#_x0000_t75" stroked="false">
              <v:imagedata r:id="rId42" o:title=""/>
            </v:shape>
            <v:shape style="position:absolute;left:3166;top:3072;width:10;height:786" type="#_x0000_t75" stroked="false">
              <v:imagedata r:id="rId43" o:title=""/>
            </v:shape>
            <w10:wrap type="none"/>
          </v:group>
        </w:pict>
      </w:r>
      <w:r>
        <w:rPr/>
        <w:pict>
          <v:group style="position:absolute;margin-left:250.25pt;margin-top:120.057251pt;width:.5pt;height:262.25pt;mso-position-horizontal-relative:page;mso-position-vertical-relative:page;z-index:-124528" coordorigin="5005,2401" coordsize="10,5245">
            <v:shape style="position:absolute;left:5005;top:2401;width:10;height:223" type="#_x0000_t75" stroked="false">
              <v:imagedata r:id="rId37" o:title=""/>
            </v:shape>
            <v:shape style="position:absolute;left:5005;top:2623;width:10;height:449" type="#_x0000_t75" stroked="false">
              <v:imagedata r:id="rId38" o:title=""/>
            </v:shape>
            <v:shape style="position:absolute;left:5005;top:3072;width:10;height:786" type="#_x0000_t75" stroked="false">
              <v:imagedata r:id="rId44" o:title=""/>
            </v:shape>
            <v:shape style="position:absolute;left:5005;top:3857;width:10;height:449" type="#_x0000_t75" stroked="false">
              <v:imagedata r:id="rId45" o:title=""/>
            </v:shape>
            <v:shape style="position:absolute;left:5005;top:4306;width:10;height:449" type="#_x0000_t75" stroked="false">
              <v:imagedata r:id="rId46" o:title=""/>
            </v:shape>
            <v:shape style="position:absolute;left:5005;top:4755;width:10;height:452" type="#_x0000_t75" stroked="false">
              <v:imagedata r:id="rId47" o:title=""/>
            </v:shape>
            <v:shape style="position:absolute;left:5005;top:5206;width:10;height:450" type="#_x0000_t75" stroked="false">
              <v:imagedata r:id="rId48" o:title=""/>
            </v:shape>
            <v:shape style="position:absolute;left:5005;top:5663;width:10;height:881" type="#_x0000_t75" stroked="false">
              <v:imagedata r:id="rId49" o:title=""/>
            </v:shape>
            <v:shape style="position:absolute;left:5005;top:6543;width:10;height:1103" type="#_x0000_t75" stroked="false">
              <v:imagedata r:id="rId50" o:title=""/>
            </v:shape>
            <w10:wrap type="none"/>
          </v:group>
        </w:pict>
      </w:r>
      <w:r>
        <w:rPr/>
        <w:pict>
          <v:group style="position:absolute;margin-left:490.029999pt;margin-top:176.090012pt;width:.5pt;height:206.25pt;mso-position-horizontal-relative:page;mso-position-vertical-relative:page;z-index:-124504" coordorigin="9801,3522" coordsize="10,4125">
            <v:shape style="position:absolute;left:9800;top:3521;width:10;height:311" type="#_x0000_t75" stroked="false">
              <v:imagedata r:id="rId51" o:title=""/>
            </v:shape>
            <v:shape style="position:absolute;left:9800;top:3848;width:10;height:449" type="#_x0000_t75" stroked="false">
              <v:imagedata r:id="rId52" o:title=""/>
            </v:shape>
            <v:shape style="position:absolute;left:9800;top:4297;width:10;height:449" type="#_x0000_t75" stroked="false">
              <v:imagedata r:id="rId53" o:title=""/>
            </v:shape>
            <v:shape style="position:absolute;left:9800;top:4745;width:10;height:452" type="#_x0000_t75" stroked="false">
              <v:imagedata r:id="rId54" o:title=""/>
            </v:shape>
            <v:shape style="position:absolute;left:9800;top:5197;width:10;height:1338" type="#_x0000_t75" stroked="false">
              <v:imagedata r:id="rId55" o:title=""/>
            </v:shape>
            <v:shape style="position:absolute;left:9800;top:6534;width:10;height:1112" type="#_x0000_t75" stroked="false">
              <v:imagedata r:id="rId56" o:title=""/>
            </v:shape>
            <w10:wrap type="none"/>
          </v:group>
        </w:pict>
      </w:r>
      <w:r>
        <w:rPr/>
        <w:pict>
          <v:group style="position:absolute;margin-left:624.700012pt;margin-top:176.090012pt;width:.5pt;height:206.25pt;mso-position-horizontal-relative:page;mso-position-vertical-relative:page;z-index:-124480" coordorigin="12494,3522" coordsize="10,4125">
            <v:shape style="position:absolute;left:12494;top:3521;width:10;height:336" type="#_x0000_t75" stroked="false">
              <v:imagedata r:id="rId57" o:title=""/>
            </v:shape>
            <v:shape style="position:absolute;left:12494;top:3857;width:10;height:449" type="#_x0000_t75" stroked="false">
              <v:imagedata r:id="rId45" o:title=""/>
            </v:shape>
            <v:shape style="position:absolute;left:12494;top:4306;width:10;height:449" type="#_x0000_t75" stroked="false">
              <v:imagedata r:id="rId46" o:title=""/>
            </v:shape>
            <v:shape style="position:absolute;left:12494;top:4755;width:10;height:452" type="#_x0000_t75" stroked="false">
              <v:imagedata r:id="rId47" o:title=""/>
            </v:shape>
            <v:shape style="position:absolute;left:12494;top:5206;width:10;height:450" type="#_x0000_t75" stroked="false">
              <v:imagedata r:id="rId48" o:title=""/>
            </v:shape>
            <v:shape style="position:absolute;left:12494;top:5663;width:10;height:881" type="#_x0000_t75" stroked="false">
              <v:imagedata r:id="rId49" o:title=""/>
            </v:shape>
            <v:shape style="position:absolute;left:12494;top:6543;width:10;height:1103" type="#_x0000_t75" stroked="false">
              <v:imagedata r:id="rId50" o:title=""/>
            </v:shape>
            <w10:wrap type="none"/>
          </v:group>
        </w:pict>
      </w:r>
      <w:r>
        <w:rPr/>
        <w:pict>
          <v:group style="position:absolute;margin-left:158.300003pt;margin-top:215.330002pt;width:.5pt;height:167pt;mso-position-horizontal-relative:page;mso-position-vertical-relative:page;z-index:-124456" coordorigin="3166,4307" coordsize="10,3340">
            <v:shape style="position:absolute;left:3166;top:4306;width:10;height:440" type="#_x0000_t75" stroked="false">
              <v:imagedata r:id="rId58" o:title=""/>
            </v:shape>
            <v:shape style="position:absolute;left:3166;top:4745;width:10;height:10" type="#_x0000_t75" stroked="false">
              <v:imagedata r:id="rId59" o:title=""/>
            </v:shape>
            <v:shape style="position:absolute;left:3166;top:4755;width:10;height:442" type="#_x0000_t75" stroked="false">
              <v:imagedata r:id="rId60" o:title=""/>
            </v:shape>
            <v:shape style="position:absolute;left:3166;top:5197;width:10;height:10" type="#_x0000_t75" stroked="false">
              <v:imagedata r:id="rId61" o:title=""/>
            </v:shape>
            <v:shape style="position:absolute;left:3166;top:5206;width:10;height:450" type="#_x0000_t75" stroked="false">
              <v:imagedata r:id="rId48" o:title=""/>
            </v:shape>
            <v:shape style="position:absolute;left:3166;top:5655;width:10;height:888" type="#_x0000_t75" stroked="false">
              <v:imagedata r:id="rId62" o:title=""/>
            </v:shape>
            <v:shape style="position:absolute;left:3166;top:6543;width:10;height:1103" type="#_x0000_t75" stroked="false">
              <v:imagedata r:id="rId50" o:title=""/>
            </v:shape>
            <w10:wrap type="none"/>
          </v:group>
        </w:pict>
      </w:r>
    </w:p>
    <w:tbl>
      <w:tblPr>
        <w:tblW w:w="0" w:type="auto"/>
        <w:jc w:val="left"/>
        <w:tblInd w:w="1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44"/>
        <w:gridCol w:w="1835"/>
        <w:gridCol w:w="4796"/>
        <w:gridCol w:w="2694"/>
        <w:gridCol w:w="3119"/>
      </w:tblGrid>
      <w:tr>
        <w:trPr>
          <w:trHeight w:val="512" w:hRule="atLeast"/>
        </w:trPr>
        <w:tc>
          <w:tcPr>
            <w:tcW w:w="14288" w:type="dxa"/>
            <w:gridSpan w:val="5"/>
            <w:tcBorders>
              <w:bottom w:val="single" w:sz="4" w:space="0" w:color="000000"/>
            </w:tcBorders>
            <w:shd w:val="clear" w:color="auto" w:fill="E7E6E6"/>
          </w:tcPr>
          <w:p>
            <w:pPr>
              <w:pStyle w:val="TableParagraph"/>
              <w:spacing w:line="293" w:lineRule="exact" w:before="1"/>
              <w:ind w:left="107"/>
              <w:rPr>
                <w:b/>
                <w:sz w:val="24"/>
              </w:rPr>
            </w:pPr>
            <w:r>
              <w:rPr>
                <w:b/>
                <w:sz w:val="24"/>
              </w:rPr>
              <w:t>I.a General IVDs for primary health care</w:t>
            </w:r>
          </w:p>
          <w:p>
            <w:pPr>
              <w:pStyle w:val="TableParagraph"/>
              <w:spacing w:line="199" w:lineRule="exact"/>
              <w:ind w:left="107"/>
              <w:rPr>
                <w:sz w:val="18"/>
              </w:rPr>
            </w:pPr>
            <w:r>
              <w:rPr>
                <w:sz w:val="18"/>
              </w:rPr>
              <w:t>Note: See list of WHO supporting documents at the end.</w:t>
            </w:r>
          </w:p>
        </w:tc>
      </w:tr>
      <w:tr>
        <w:trPr>
          <w:trHeight w:val="390" w:hRule="atLeast"/>
        </w:trPr>
        <w:tc>
          <w:tcPr>
            <w:tcW w:w="1844" w:type="dxa"/>
            <w:tcBorders>
              <w:top w:val="single" w:sz="4" w:space="0" w:color="000000"/>
              <w:bottom w:val="single" w:sz="4" w:space="0" w:color="000000"/>
              <w:right w:val="nil"/>
            </w:tcBorders>
            <w:shd w:val="clear" w:color="auto" w:fill="E7E6E6"/>
          </w:tcPr>
          <w:p>
            <w:pPr>
              <w:pStyle w:val="TableParagraph"/>
              <w:ind w:left="1823" w:right="-87"/>
              <w:rPr>
                <w:rFonts w:ascii="Times New Roman"/>
                <w:sz w:val="20"/>
              </w:rPr>
            </w:pPr>
            <w:r>
              <w:rPr>
                <w:rFonts w:ascii="Times New Roman"/>
                <w:sz w:val="20"/>
              </w:rPr>
              <w:pict>
                <v:group style="width:.5pt;height:20.05pt;mso-position-horizontal-relative:char;mso-position-vertical-relative:line" coordorigin="0,0" coordsize="10,401">
                  <v:shape style="position:absolute;left:0;top:0;width:10;height:392" type="#_x0000_t75" stroked="false">
                    <v:imagedata r:id="rId34" o:title=""/>
                  </v:shape>
                  <v:shape style="position:absolute;left:0;top:391;width:10;height:10" type="#_x0000_t75" stroked="false">
                    <v:imagedata r:id="rId61" o:title=""/>
                  </v:shape>
                </v:group>
              </w:pict>
            </w:r>
            <w:r>
              <w:rPr>
                <w:rFonts w:ascii="Times New Roman"/>
                <w:sz w:val="20"/>
              </w:rPr>
            </w:r>
          </w:p>
        </w:tc>
        <w:tc>
          <w:tcPr>
            <w:tcW w:w="1835" w:type="dxa"/>
            <w:tcBorders>
              <w:top w:val="single" w:sz="4" w:space="0" w:color="000000"/>
              <w:left w:val="nil"/>
              <w:bottom w:val="single" w:sz="4" w:space="0" w:color="000000"/>
              <w:right w:val="nil"/>
            </w:tcBorders>
            <w:shd w:val="clear" w:color="auto" w:fill="E7E6E6"/>
          </w:tcPr>
          <w:p>
            <w:pPr>
              <w:pStyle w:val="TableParagraph"/>
              <w:spacing w:line="194" w:lineRule="exact"/>
              <w:ind w:left="117"/>
              <w:rPr>
                <w:b/>
                <w:sz w:val="16"/>
              </w:rPr>
            </w:pPr>
            <w:r>
              <w:rPr>
                <w:b/>
                <w:sz w:val="16"/>
              </w:rPr>
              <w:t>Diagnostic test</w:t>
            </w:r>
          </w:p>
        </w:tc>
        <w:tc>
          <w:tcPr>
            <w:tcW w:w="4796" w:type="dxa"/>
            <w:tcBorders>
              <w:top w:val="single" w:sz="4" w:space="0" w:color="000000"/>
              <w:left w:val="nil"/>
              <w:bottom w:val="single" w:sz="4" w:space="0" w:color="000000"/>
              <w:right w:val="nil"/>
            </w:tcBorders>
            <w:shd w:val="clear" w:color="auto" w:fill="E7E6E6"/>
          </w:tcPr>
          <w:p>
            <w:pPr>
              <w:pStyle w:val="TableParagraph"/>
              <w:spacing w:line="194" w:lineRule="exact"/>
              <w:ind w:left="121"/>
              <w:rPr>
                <w:b/>
                <w:sz w:val="16"/>
              </w:rPr>
            </w:pPr>
            <w:r>
              <w:rPr>
                <w:b/>
                <w:sz w:val="16"/>
              </w:rPr>
              <w:t>Test purpose</w:t>
            </w:r>
          </w:p>
        </w:tc>
        <w:tc>
          <w:tcPr>
            <w:tcW w:w="2694" w:type="dxa"/>
            <w:tcBorders>
              <w:top w:val="single" w:sz="4" w:space="0" w:color="000000"/>
              <w:left w:val="nil"/>
              <w:bottom w:val="single" w:sz="4" w:space="0" w:color="000000"/>
              <w:right w:val="nil"/>
            </w:tcBorders>
            <w:shd w:val="clear" w:color="auto" w:fill="E7E6E6"/>
          </w:tcPr>
          <w:p>
            <w:pPr>
              <w:pStyle w:val="TableParagraph"/>
              <w:spacing w:line="194" w:lineRule="exact"/>
              <w:ind w:left="120"/>
              <w:rPr>
                <w:b/>
                <w:sz w:val="16"/>
              </w:rPr>
            </w:pPr>
            <w:r>
              <w:rPr>
                <w:b/>
                <w:sz w:val="16"/>
              </w:rPr>
              <w:t>Assay format</w:t>
            </w:r>
          </w:p>
        </w:tc>
        <w:tc>
          <w:tcPr>
            <w:tcW w:w="3119" w:type="dxa"/>
            <w:tcBorders>
              <w:top w:val="single" w:sz="4" w:space="0" w:color="000000"/>
              <w:left w:val="nil"/>
              <w:bottom w:val="single" w:sz="4" w:space="0" w:color="000000"/>
            </w:tcBorders>
            <w:shd w:val="clear" w:color="auto" w:fill="E7E6E6"/>
          </w:tcPr>
          <w:p>
            <w:pPr>
              <w:pStyle w:val="TableParagraph"/>
              <w:spacing w:line="194" w:lineRule="exact"/>
              <w:ind w:left="120"/>
              <w:rPr>
                <w:b/>
                <w:sz w:val="16"/>
              </w:rPr>
            </w:pPr>
            <w:r>
              <w:rPr>
                <w:b/>
                <w:sz w:val="16"/>
              </w:rPr>
              <w:t>Specimen type</w:t>
            </w:r>
          </w:p>
        </w:tc>
      </w:tr>
      <w:tr>
        <w:trPr>
          <w:trHeight w:val="180" w:hRule="atLeast"/>
        </w:trPr>
        <w:tc>
          <w:tcPr>
            <w:tcW w:w="1844" w:type="dxa"/>
            <w:vMerge w:val="restart"/>
            <w:tcBorders>
              <w:top w:val="single" w:sz="4" w:space="0" w:color="000000"/>
              <w:bottom w:val="single" w:sz="4" w:space="0" w:color="000000"/>
              <w:right w:val="nil"/>
            </w:tcBorders>
          </w:tcPr>
          <w:p>
            <w:pPr>
              <w:pStyle w:val="TableParagraph"/>
              <w:spacing w:line="178" w:lineRule="exact"/>
              <w:ind w:left="107"/>
              <w:rPr>
                <w:sz w:val="18"/>
              </w:rPr>
            </w:pPr>
            <w:r>
              <w:rPr>
                <w:sz w:val="18"/>
              </w:rPr>
              <w:t>Clinical chemistry and</w:t>
            </w:r>
          </w:p>
          <w:p>
            <w:pPr>
              <w:pStyle w:val="TableParagraph"/>
              <w:spacing w:before="1"/>
              <w:ind w:left="107"/>
              <w:rPr>
                <w:sz w:val="18"/>
              </w:rPr>
            </w:pPr>
            <w:r>
              <w:rPr>
                <w:sz w:val="18"/>
              </w:rPr>
              <w:t>immunoassays</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833" w:right="-58"/>
              <w:rPr>
                <w:rFonts w:ascii="Times New Roman"/>
                <w:sz w:val="20"/>
              </w:rPr>
            </w:pPr>
            <w:r>
              <w:rPr>
                <w:rFonts w:ascii="Times New Roman"/>
                <w:sz w:val="20"/>
              </w:rPr>
              <w:drawing>
                <wp:inline distT="0" distB="0" distL="0" distR="0">
                  <wp:extent cx="6063" cy="283463"/>
                  <wp:effectExtent l="0" t="0" r="0" b="0"/>
                  <wp:docPr id="11" name="image40.png" descr=""/>
                  <wp:cNvGraphicFramePr>
                    <a:graphicFrameLocks noChangeAspect="1"/>
                  </wp:cNvGraphicFramePr>
                  <a:graphic>
                    <a:graphicData uri="http://schemas.openxmlformats.org/drawingml/2006/picture">
                      <pic:pic>
                        <pic:nvPicPr>
                          <pic:cNvPr id="12" name="image40.png"/>
                          <pic:cNvPicPr/>
                        </pic:nvPicPr>
                        <pic:blipFill>
                          <a:blip r:embed="rId63" cstate="print"/>
                          <a:stretch>
                            <a:fillRect/>
                          </a:stretch>
                        </pic:blipFill>
                        <pic:spPr>
                          <a:xfrm>
                            <a:off x="0" y="0"/>
                            <a:ext cx="6063" cy="283463"/>
                          </a:xfrm>
                          <a:prstGeom prst="rect">
                            <a:avLst/>
                          </a:prstGeom>
                        </pic:spPr>
                      </pic:pic>
                    </a:graphicData>
                  </a:graphic>
                </wp:inline>
              </w:drawing>
            </w:r>
            <w:r>
              <w:rPr>
                <w:rFonts w:ascii="Times New Roman"/>
                <w:sz w:val="20"/>
              </w:rPr>
            </w:r>
          </w:p>
          <w:p>
            <w:pPr>
              <w:pStyle w:val="TableParagraph"/>
              <w:rPr>
                <w:rFonts w:ascii="Times New Roman"/>
                <w:sz w:val="20"/>
              </w:rPr>
            </w:pPr>
          </w:p>
          <w:p>
            <w:pPr>
              <w:pStyle w:val="TableParagraph"/>
              <w:spacing w:before="3"/>
              <w:rPr>
                <w:rFonts w:ascii="Times New Roman"/>
                <w:sz w:val="18"/>
              </w:rPr>
            </w:pPr>
          </w:p>
        </w:tc>
        <w:tc>
          <w:tcPr>
            <w:tcW w:w="1835" w:type="dxa"/>
            <w:tcBorders>
              <w:top w:val="single" w:sz="4" w:space="0" w:color="000000"/>
              <w:left w:val="nil"/>
              <w:bottom w:val="single" w:sz="4" w:space="0" w:color="000000"/>
              <w:right w:val="nil"/>
            </w:tcBorders>
          </w:tcPr>
          <w:p>
            <w:pPr>
              <w:pStyle w:val="TableParagraph"/>
              <w:spacing w:line="160" w:lineRule="exact"/>
              <w:ind w:left="117"/>
              <w:rPr>
                <w:sz w:val="18"/>
              </w:rPr>
            </w:pPr>
            <w:r>
              <w:rPr>
                <w:sz w:val="18"/>
              </w:rPr>
              <w:t>Albumin</w:t>
            </w:r>
          </w:p>
        </w:tc>
        <w:tc>
          <w:tcPr>
            <w:tcW w:w="4796" w:type="dxa"/>
            <w:tcBorders>
              <w:top w:val="single" w:sz="4" w:space="0" w:color="000000"/>
              <w:left w:val="nil"/>
              <w:bottom w:val="single" w:sz="4" w:space="0" w:color="000000"/>
              <w:right w:val="nil"/>
            </w:tcBorders>
          </w:tcPr>
          <w:p>
            <w:pPr>
              <w:pStyle w:val="TableParagraph"/>
              <w:spacing w:line="160" w:lineRule="exact"/>
              <w:ind w:left="121"/>
              <w:rPr>
                <w:sz w:val="18"/>
              </w:rPr>
            </w:pPr>
            <w:r>
              <w:rPr>
                <w:sz w:val="18"/>
              </w:rPr>
              <w:t>To detect/monitor malnutrition, liver or kidney disease</w:t>
            </w:r>
          </w:p>
        </w:tc>
        <w:tc>
          <w:tcPr>
            <w:tcW w:w="2694" w:type="dxa"/>
            <w:tcBorders>
              <w:top w:val="single" w:sz="4" w:space="0" w:color="000000"/>
              <w:left w:val="nil"/>
              <w:bottom w:val="single" w:sz="4" w:space="0" w:color="000000"/>
              <w:right w:val="nil"/>
            </w:tcBorders>
          </w:tcPr>
          <w:p>
            <w:pPr>
              <w:pStyle w:val="TableParagraph"/>
              <w:spacing w:line="160" w:lineRule="exact"/>
              <w:ind w:left="120"/>
              <w:rPr>
                <w:sz w:val="18"/>
              </w:rPr>
            </w:pPr>
            <w:r>
              <w:rPr>
                <w:sz w:val="18"/>
              </w:rPr>
              <w:t>Dipstick</w:t>
            </w:r>
          </w:p>
        </w:tc>
        <w:tc>
          <w:tcPr>
            <w:tcW w:w="3119" w:type="dxa"/>
            <w:tcBorders>
              <w:top w:val="single" w:sz="4" w:space="0" w:color="000000"/>
              <w:left w:val="nil"/>
              <w:bottom w:val="single" w:sz="4" w:space="0" w:color="000000"/>
            </w:tcBorders>
          </w:tcPr>
          <w:p>
            <w:pPr>
              <w:pStyle w:val="TableParagraph"/>
              <w:spacing w:line="160" w:lineRule="exact"/>
              <w:ind w:left="120"/>
              <w:rPr>
                <w:sz w:val="18"/>
              </w:rPr>
            </w:pPr>
            <w:r>
              <w:rPr>
                <w:sz w:val="18"/>
              </w:rPr>
              <w:t>Urine</w:t>
            </w:r>
          </w:p>
        </w:tc>
      </w:tr>
      <w:tr>
        <w:trPr>
          <w:trHeight w:val="438" w:hRule="atLeast"/>
        </w:trPr>
        <w:tc>
          <w:tcPr>
            <w:tcW w:w="1844" w:type="dxa"/>
            <w:vMerge/>
            <w:tcBorders>
              <w:top w:val="nil"/>
              <w:bottom w:val="single" w:sz="4" w:space="0" w:color="000000"/>
              <w:right w:val="nil"/>
            </w:tcBorders>
          </w:tcPr>
          <w:p>
            <w:pPr>
              <w:rPr>
                <w:sz w:val="2"/>
                <w:szCs w:val="2"/>
              </w:rPr>
            </w:pPr>
          </w:p>
        </w:tc>
        <w:tc>
          <w:tcPr>
            <w:tcW w:w="1835" w:type="dxa"/>
            <w:tcBorders>
              <w:top w:val="single" w:sz="4" w:space="0" w:color="000000"/>
              <w:left w:val="nil"/>
              <w:bottom w:val="single" w:sz="4" w:space="0" w:color="000000"/>
              <w:right w:val="nil"/>
            </w:tcBorders>
          </w:tcPr>
          <w:p>
            <w:pPr>
              <w:pStyle w:val="TableParagraph"/>
              <w:spacing w:line="219" w:lineRule="exact"/>
              <w:ind w:left="117"/>
              <w:rPr>
                <w:sz w:val="18"/>
              </w:rPr>
            </w:pPr>
            <w:r>
              <w:rPr>
                <w:sz w:val="18"/>
              </w:rPr>
              <w:t>Bilirubin</w:t>
            </w:r>
          </w:p>
        </w:tc>
        <w:tc>
          <w:tcPr>
            <w:tcW w:w="4796" w:type="dxa"/>
            <w:tcBorders>
              <w:top w:val="single" w:sz="4" w:space="0" w:color="000000"/>
              <w:left w:val="nil"/>
              <w:bottom w:val="single" w:sz="4" w:space="0" w:color="000000"/>
              <w:right w:val="nil"/>
            </w:tcBorders>
          </w:tcPr>
          <w:p>
            <w:pPr>
              <w:pStyle w:val="TableParagraph"/>
              <w:spacing w:line="218" w:lineRule="exact"/>
              <w:ind w:left="121"/>
              <w:rPr>
                <w:sz w:val="18"/>
              </w:rPr>
            </w:pPr>
            <w:r>
              <w:rPr>
                <w:sz w:val="18"/>
              </w:rPr>
              <w:t>To detect/monitor liver disease, liver/pancreas and bile duct</w:t>
            </w:r>
          </w:p>
          <w:p>
            <w:pPr>
              <w:pStyle w:val="TableParagraph"/>
              <w:spacing w:line="201" w:lineRule="exact"/>
              <w:ind w:left="121"/>
              <w:rPr>
                <w:sz w:val="18"/>
              </w:rPr>
            </w:pPr>
            <w:r>
              <w:rPr>
                <w:sz w:val="18"/>
              </w:rPr>
              <w:t>disorders, and red cell destruction</w:t>
            </w:r>
          </w:p>
        </w:tc>
        <w:tc>
          <w:tcPr>
            <w:tcW w:w="2694" w:type="dxa"/>
            <w:tcBorders>
              <w:top w:val="single" w:sz="4" w:space="0" w:color="000000"/>
              <w:left w:val="nil"/>
              <w:bottom w:val="single" w:sz="4" w:space="0" w:color="000000"/>
              <w:right w:val="nil"/>
            </w:tcBorders>
          </w:tcPr>
          <w:p>
            <w:pPr>
              <w:pStyle w:val="TableParagraph"/>
              <w:spacing w:line="219" w:lineRule="exact"/>
              <w:ind w:left="120"/>
              <w:rPr>
                <w:sz w:val="18"/>
              </w:rPr>
            </w:pPr>
            <w:r>
              <w:rPr>
                <w:sz w:val="18"/>
              </w:rPr>
              <w:t>Dipstick</w:t>
            </w:r>
          </w:p>
        </w:tc>
        <w:tc>
          <w:tcPr>
            <w:tcW w:w="3119" w:type="dxa"/>
            <w:tcBorders>
              <w:top w:val="single" w:sz="4" w:space="0" w:color="000000"/>
              <w:left w:val="nil"/>
              <w:bottom w:val="single" w:sz="4" w:space="0" w:color="000000"/>
            </w:tcBorders>
          </w:tcPr>
          <w:p>
            <w:pPr>
              <w:pStyle w:val="TableParagraph"/>
              <w:spacing w:line="219" w:lineRule="exact"/>
              <w:ind w:left="120"/>
              <w:rPr>
                <w:sz w:val="18"/>
              </w:rPr>
            </w:pPr>
            <w:r>
              <w:rPr>
                <w:sz w:val="18"/>
              </w:rPr>
              <w:t>Urine</w:t>
            </w:r>
          </w:p>
        </w:tc>
      </w:tr>
      <w:tr>
        <w:trPr>
          <w:trHeight w:val="434" w:hRule="atLeast"/>
        </w:trPr>
        <w:tc>
          <w:tcPr>
            <w:tcW w:w="1844" w:type="dxa"/>
            <w:vMerge/>
            <w:tcBorders>
              <w:top w:val="nil"/>
              <w:bottom w:val="single" w:sz="4" w:space="0" w:color="000000"/>
              <w:right w:val="nil"/>
            </w:tcBorders>
          </w:tcPr>
          <w:p>
            <w:pPr>
              <w:rPr>
                <w:sz w:val="2"/>
                <w:szCs w:val="2"/>
              </w:rPr>
            </w:pPr>
          </w:p>
        </w:tc>
        <w:tc>
          <w:tcPr>
            <w:tcW w:w="1835" w:type="dxa"/>
            <w:tcBorders>
              <w:top w:val="single" w:sz="4" w:space="0" w:color="000000"/>
              <w:left w:val="nil"/>
              <w:bottom w:val="nil"/>
              <w:right w:val="nil"/>
            </w:tcBorders>
          </w:tcPr>
          <w:p>
            <w:pPr>
              <w:pStyle w:val="TableParagraph"/>
              <w:spacing w:line="219" w:lineRule="exact"/>
              <w:ind w:left="117"/>
              <w:rPr>
                <w:sz w:val="18"/>
              </w:rPr>
            </w:pPr>
            <w:r>
              <w:rPr>
                <w:sz w:val="18"/>
              </w:rPr>
              <w:t>Glucose</w:t>
            </w:r>
          </w:p>
        </w:tc>
        <w:tc>
          <w:tcPr>
            <w:tcW w:w="4796" w:type="dxa"/>
            <w:tcBorders>
              <w:top w:val="single" w:sz="4" w:space="0" w:color="000000"/>
              <w:left w:val="nil"/>
              <w:bottom w:val="nil"/>
              <w:right w:val="nil"/>
            </w:tcBorders>
          </w:tcPr>
          <w:p>
            <w:pPr>
              <w:pStyle w:val="TableParagraph"/>
              <w:spacing w:line="219" w:lineRule="exact"/>
              <w:ind w:left="121"/>
              <w:rPr>
                <w:sz w:val="18"/>
              </w:rPr>
            </w:pPr>
            <w:r>
              <w:rPr>
                <w:sz w:val="18"/>
              </w:rPr>
              <w:t>To diagnose and screen for diabetes and intermediate</w:t>
            </w:r>
          </w:p>
          <w:p>
            <w:pPr>
              <w:pStyle w:val="TableParagraph"/>
              <w:spacing w:line="194" w:lineRule="exact" w:before="1"/>
              <w:ind w:left="121"/>
              <w:rPr>
                <w:sz w:val="18"/>
              </w:rPr>
            </w:pPr>
            <w:r>
              <w:rPr>
                <w:sz w:val="18"/>
              </w:rPr>
              <w:t>hypoglycaemia</w:t>
            </w:r>
          </w:p>
        </w:tc>
        <w:tc>
          <w:tcPr>
            <w:tcW w:w="2694" w:type="dxa"/>
            <w:tcBorders>
              <w:top w:val="single" w:sz="4" w:space="0" w:color="000000"/>
              <w:left w:val="nil"/>
              <w:bottom w:val="nil"/>
              <w:right w:val="nil"/>
            </w:tcBorders>
          </w:tcPr>
          <w:p>
            <w:pPr>
              <w:pStyle w:val="TableParagraph"/>
              <w:spacing w:line="219" w:lineRule="exact"/>
              <w:ind w:left="120"/>
              <w:rPr>
                <w:sz w:val="18"/>
              </w:rPr>
            </w:pPr>
            <w:r>
              <w:rPr>
                <w:sz w:val="18"/>
              </w:rPr>
              <w:t>Dipstick</w:t>
            </w:r>
          </w:p>
        </w:tc>
        <w:tc>
          <w:tcPr>
            <w:tcW w:w="3119" w:type="dxa"/>
            <w:tcBorders>
              <w:top w:val="single" w:sz="4" w:space="0" w:color="000000"/>
              <w:left w:val="nil"/>
              <w:bottom w:val="nil"/>
              <w:right w:val="nil"/>
            </w:tcBorders>
          </w:tcPr>
          <w:p>
            <w:pPr>
              <w:pStyle w:val="TableParagraph"/>
              <w:spacing w:line="219" w:lineRule="exact"/>
              <w:ind w:left="120"/>
              <w:rPr>
                <w:sz w:val="18"/>
              </w:rPr>
            </w:pPr>
            <w:r>
              <w:rPr>
                <w:sz w:val="18"/>
              </w:rPr>
              <w:t>Capillary whole blood</w:t>
            </w:r>
          </w:p>
          <w:p>
            <w:pPr>
              <w:pStyle w:val="TableParagraph"/>
              <w:spacing w:line="194" w:lineRule="exact" w:before="1"/>
              <w:ind w:left="120"/>
              <w:rPr>
                <w:sz w:val="18"/>
              </w:rPr>
            </w:pPr>
            <w:r>
              <w:rPr>
                <w:sz w:val="18"/>
              </w:rPr>
              <w:t>Urine</w:t>
            </w:r>
          </w:p>
        </w:tc>
      </w:tr>
      <w:tr>
        <w:trPr>
          <w:trHeight w:val="330" w:hRule="atLeast"/>
        </w:trPr>
        <w:tc>
          <w:tcPr>
            <w:tcW w:w="1844" w:type="dxa"/>
            <w:vMerge/>
            <w:tcBorders>
              <w:top w:val="nil"/>
              <w:bottom w:val="single" w:sz="4" w:space="0" w:color="000000"/>
              <w:right w:val="nil"/>
            </w:tcBorders>
          </w:tcPr>
          <w:p>
            <w:pPr>
              <w:rPr>
                <w:sz w:val="2"/>
                <w:szCs w:val="2"/>
              </w:rPr>
            </w:pPr>
          </w:p>
        </w:tc>
        <w:tc>
          <w:tcPr>
            <w:tcW w:w="1835" w:type="dxa"/>
            <w:tcBorders>
              <w:top w:val="nil"/>
              <w:left w:val="nil"/>
              <w:bottom w:val="single" w:sz="4" w:space="0" w:color="000000"/>
              <w:right w:val="nil"/>
            </w:tcBorders>
          </w:tcPr>
          <w:p>
            <w:pPr>
              <w:pStyle w:val="TableParagraph"/>
              <w:rPr>
                <w:rFonts w:ascii="Times New Roman"/>
                <w:sz w:val="18"/>
              </w:rPr>
            </w:pPr>
          </w:p>
        </w:tc>
        <w:tc>
          <w:tcPr>
            <w:tcW w:w="4796" w:type="dxa"/>
            <w:tcBorders>
              <w:top w:val="nil"/>
              <w:left w:val="nil"/>
              <w:bottom w:val="single" w:sz="4" w:space="0" w:color="000000"/>
              <w:right w:val="nil"/>
            </w:tcBorders>
          </w:tcPr>
          <w:p>
            <w:pPr>
              <w:pStyle w:val="TableParagraph"/>
              <w:rPr>
                <w:rFonts w:ascii="Times New Roman"/>
                <w:sz w:val="18"/>
              </w:rPr>
            </w:pPr>
          </w:p>
        </w:tc>
        <w:tc>
          <w:tcPr>
            <w:tcW w:w="2694" w:type="dxa"/>
            <w:tcBorders>
              <w:top w:val="nil"/>
              <w:left w:val="nil"/>
              <w:bottom w:val="single" w:sz="4" w:space="0" w:color="000000"/>
              <w:right w:val="nil"/>
            </w:tcBorders>
          </w:tcPr>
          <w:p>
            <w:pPr>
              <w:pStyle w:val="TableParagraph"/>
              <w:spacing w:before="3"/>
              <w:ind w:left="120"/>
              <w:rPr>
                <w:sz w:val="18"/>
              </w:rPr>
            </w:pPr>
            <w:r>
              <w:rPr>
                <w:sz w:val="18"/>
              </w:rPr>
              <w:t>Glucometer</w:t>
            </w:r>
          </w:p>
        </w:tc>
        <w:tc>
          <w:tcPr>
            <w:tcW w:w="3119" w:type="dxa"/>
            <w:tcBorders>
              <w:top w:val="nil"/>
              <w:left w:val="nil"/>
              <w:bottom w:val="single" w:sz="4" w:space="0" w:color="000000"/>
            </w:tcBorders>
          </w:tcPr>
          <w:p>
            <w:pPr>
              <w:pStyle w:val="TableParagraph"/>
              <w:spacing w:before="3"/>
              <w:ind w:left="120"/>
              <w:rPr>
                <w:sz w:val="18"/>
              </w:rPr>
            </w:pPr>
            <w:r>
              <w:rPr>
                <w:sz w:val="18"/>
              </w:rPr>
              <w:t>Capillary whole blood</w:t>
            </w:r>
          </w:p>
        </w:tc>
      </w:tr>
      <w:tr>
        <w:trPr>
          <w:trHeight w:val="438" w:hRule="atLeast"/>
        </w:trPr>
        <w:tc>
          <w:tcPr>
            <w:tcW w:w="1844" w:type="dxa"/>
            <w:vMerge/>
            <w:tcBorders>
              <w:top w:val="nil"/>
              <w:bottom w:val="single" w:sz="4" w:space="0" w:color="000000"/>
              <w:right w:val="nil"/>
            </w:tcBorders>
          </w:tcPr>
          <w:p>
            <w:pPr>
              <w:rPr>
                <w:sz w:val="2"/>
                <w:szCs w:val="2"/>
              </w:rPr>
            </w:pPr>
          </w:p>
        </w:tc>
        <w:tc>
          <w:tcPr>
            <w:tcW w:w="1835" w:type="dxa"/>
            <w:tcBorders>
              <w:top w:val="single" w:sz="4" w:space="0" w:color="000000"/>
              <w:left w:val="nil"/>
              <w:bottom w:val="single" w:sz="4" w:space="0" w:color="000000"/>
              <w:right w:val="nil"/>
            </w:tcBorders>
          </w:tcPr>
          <w:p>
            <w:pPr>
              <w:pStyle w:val="TableParagraph"/>
              <w:spacing w:line="219" w:lineRule="exact"/>
              <w:ind w:left="117"/>
              <w:rPr>
                <w:sz w:val="18"/>
              </w:rPr>
            </w:pPr>
            <w:r>
              <w:rPr>
                <w:sz w:val="18"/>
              </w:rPr>
              <w:t>Haemoglobin A1c</w:t>
            </w:r>
          </w:p>
          <w:p>
            <w:pPr>
              <w:pStyle w:val="TableParagraph"/>
              <w:spacing w:line="199" w:lineRule="exact" w:before="1"/>
              <w:ind w:left="117"/>
              <w:rPr>
                <w:sz w:val="18"/>
              </w:rPr>
            </w:pPr>
            <w:r>
              <w:rPr>
                <w:sz w:val="18"/>
              </w:rPr>
              <w:t>(HbA1c)</w:t>
            </w:r>
          </w:p>
        </w:tc>
        <w:tc>
          <w:tcPr>
            <w:tcW w:w="4796" w:type="dxa"/>
            <w:tcBorders>
              <w:top w:val="single" w:sz="4" w:space="0" w:color="000000"/>
              <w:left w:val="nil"/>
              <w:bottom w:val="single" w:sz="4" w:space="0" w:color="000000"/>
              <w:right w:val="nil"/>
            </w:tcBorders>
          </w:tcPr>
          <w:p>
            <w:pPr>
              <w:pStyle w:val="TableParagraph"/>
              <w:spacing w:line="219" w:lineRule="exact"/>
              <w:ind w:left="121"/>
              <w:rPr>
                <w:sz w:val="18"/>
              </w:rPr>
            </w:pPr>
            <w:r>
              <w:rPr>
                <w:sz w:val="18"/>
              </w:rPr>
              <w:t>Diagnosis and monitoring of diabetes mellitus</w:t>
            </w:r>
          </w:p>
        </w:tc>
        <w:tc>
          <w:tcPr>
            <w:tcW w:w="2694" w:type="dxa"/>
            <w:tcBorders>
              <w:top w:val="single" w:sz="4" w:space="0" w:color="000000"/>
              <w:left w:val="nil"/>
              <w:bottom w:val="single" w:sz="4" w:space="0" w:color="000000"/>
              <w:right w:val="nil"/>
            </w:tcBorders>
          </w:tcPr>
          <w:p>
            <w:pPr>
              <w:pStyle w:val="TableParagraph"/>
              <w:spacing w:line="219" w:lineRule="exact"/>
              <w:ind w:left="120"/>
              <w:rPr>
                <w:sz w:val="18"/>
              </w:rPr>
            </w:pPr>
            <w:r>
              <w:rPr>
                <w:sz w:val="18"/>
              </w:rPr>
              <w:t>Handheld and small analyser</w:t>
            </w:r>
          </w:p>
        </w:tc>
        <w:tc>
          <w:tcPr>
            <w:tcW w:w="3119" w:type="dxa"/>
            <w:tcBorders>
              <w:top w:val="single" w:sz="4" w:space="0" w:color="000000"/>
              <w:left w:val="nil"/>
              <w:bottom w:val="single" w:sz="4" w:space="0" w:color="000000"/>
            </w:tcBorders>
          </w:tcPr>
          <w:p>
            <w:pPr>
              <w:pStyle w:val="TableParagraph"/>
              <w:spacing w:line="219" w:lineRule="exact"/>
              <w:ind w:left="120"/>
              <w:rPr>
                <w:sz w:val="18"/>
              </w:rPr>
            </w:pPr>
            <w:r>
              <w:rPr>
                <w:sz w:val="18"/>
              </w:rPr>
              <w:t>Capillary whole blood</w:t>
            </w:r>
          </w:p>
        </w:tc>
      </w:tr>
      <w:tr>
        <w:trPr>
          <w:trHeight w:val="438" w:hRule="atLeast"/>
        </w:trPr>
        <w:tc>
          <w:tcPr>
            <w:tcW w:w="1844" w:type="dxa"/>
            <w:vMerge/>
            <w:tcBorders>
              <w:top w:val="nil"/>
              <w:bottom w:val="single" w:sz="4" w:space="0" w:color="000000"/>
              <w:right w:val="nil"/>
            </w:tcBorders>
          </w:tcPr>
          <w:p>
            <w:pPr>
              <w:rPr>
                <w:sz w:val="2"/>
                <w:szCs w:val="2"/>
              </w:rPr>
            </w:pPr>
          </w:p>
        </w:tc>
        <w:tc>
          <w:tcPr>
            <w:tcW w:w="1835" w:type="dxa"/>
            <w:tcBorders>
              <w:top w:val="single" w:sz="4" w:space="0" w:color="000000"/>
              <w:left w:val="nil"/>
              <w:bottom w:val="single" w:sz="4" w:space="0" w:color="000000"/>
              <w:right w:val="nil"/>
            </w:tcBorders>
          </w:tcPr>
          <w:p>
            <w:pPr>
              <w:pStyle w:val="TableParagraph"/>
              <w:spacing w:line="219" w:lineRule="exact"/>
              <w:ind w:left="117"/>
              <w:rPr>
                <w:sz w:val="18"/>
              </w:rPr>
            </w:pPr>
            <w:r>
              <w:rPr>
                <w:sz w:val="18"/>
              </w:rPr>
              <w:t>Whole blood lactate</w:t>
            </w:r>
          </w:p>
        </w:tc>
        <w:tc>
          <w:tcPr>
            <w:tcW w:w="4796" w:type="dxa"/>
            <w:tcBorders>
              <w:top w:val="single" w:sz="4" w:space="0" w:color="000000"/>
              <w:left w:val="nil"/>
              <w:bottom w:val="single" w:sz="4" w:space="0" w:color="000000"/>
              <w:right w:val="nil"/>
            </w:tcBorders>
          </w:tcPr>
          <w:p>
            <w:pPr>
              <w:pStyle w:val="TableParagraph"/>
              <w:spacing w:line="219" w:lineRule="exact"/>
              <w:ind w:left="121"/>
              <w:rPr>
                <w:sz w:val="18"/>
              </w:rPr>
            </w:pPr>
            <w:r>
              <w:rPr>
                <w:sz w:val="18"/>
              </w:rPr>
              <w:t>To assess metabolic acidosis, diabetic keto-acidosis, sepsis and</w:t>
            </w:r>
          </w:p>
          <w:p>
            <w:pPr>
              <w:pStyle w:val="TableParagraph"/>
              <w:spacing w:line="199" w:lineRule="exact" w:before="1"/>
              <w:ind w:left="121"/>
              <w:rPr>
                <w:sz w:val="18"/>
              </w:rPr>
            </w:pPr>
            <w:r>
              <w:rPr>
                <w:sz w:val="18"/>
              </w:rPr>
              <w:t>dehydration</w:t>
            </w:r>
          </w:p>
        </w:tc>
        <w:tc>
          <w:tcPr>
            <w:tcW w:w="2694" w:type="dxa"/>
            <w:tcBorders>
              <w:top w:val="single" w:sz="4" w:space="0" w:color="000000"/>
              <w:left w:val="nil"/>
              <w:bottom w:val="single" w:sz="4" w:space="0" w:color="000000"/>
              <w:right w:val="nil"/>
            </w:tcBorders>
          </w:tcPr>
          <w:p>
            <w:pPr>
              <w:pStyle w:val="TableParagraph"/>
              <w:spacing w:line="219" w:lineRule="exact"/>
              <w:ind w:left="120"/>
              <w:rPr>
                <w:sz w:val="18"/>
              </w:rPr>
            </w:pPr>
            <w:r>
              <w:rPr>
                <w:sz w:val="18"/>
              </w:rPr>
              <w:t>Electro-analytical method</w:t>
            </w:r>
          </w:p>
          <w:p>
            <w:pPr>
              <w:pStyle w:val="TableParagraph"/>
              <w:spacing w:line="199" w:lineRule="exact" w:before="1"/>
              <w:ind w:left="120"/>
              <w:rPr>
                <w:sz w:val="18"/>
              </w:rPr>
            </w:pPr>
            <w:r>
              <w:rPr>
                <w:sz w:val="18"/>
              </w:rPr>
              <w:t>Handheld analyser</w:t>
            </w:r>
          </w:p>
        </w:tc>
        <w:tc>
          <w:tcPr>
            <w:tcW w:w="3119" w:type="dxa"/>
            <w:tcBorders>
              <w:top w:val="single" w:sz="4" w:space="0" w:color="000000"/>
              <w:left w:val="nil"/>
              <w:bottom w:val="single" w:sz="4" w:space="0" w:color="000000"/>
            </w:tcBorders>
          </w:tcPr>
          <w:p>
            <w:pPr>
              <w:pStyle w:val="TableParagraph"/>
              <w:spacing w:line="219" w:lineRule="exact"/>
              <w:ind w:left="120"/>
              <w:rPr>
                <w:sz w:val="18"/>
              </w:rPr>
            </w:pPr>
            <w:r>
              <w:rPr>
                <w:sz w:val="18"/>
              </w:rPr>
              <w:t>Arterial whole</w:t>
            </w:r>
            <w:r>
              <w:rPr>
                <w:spacing w:val="-10"/>
                <w:sz w:val="18"/>
              </w:rPr>
              <w:t> </w:t>
            </w:r>
            <w:r>
              <w:rPr>
                <w:sz w:val="18"/>
              </w:rPr>
              <w:t>blood</w:t>
            </w:r>
          </w:p>
          <w:p>
            <w:pPr>
              <w:pStyle w:val="TableParagraph"/>
              <w:spacing w:line="199" w:lineRule="exact" w:before="1"/>
              <w:ind w:left="120"/>
              <w:rPr>
                <w:sz w:val="18"/>
              </w:rPr>
            </w:pPr>
            <w:r>
              <w:rPr>
                <w:sz w:val="18"/>
              </w:rPr>
              <w:t>Venous whole</w:t>
            </w:r>
            <w:r>
              <w:rPr>
                <w:spacing w:val="-9"/>
                <w:sz w:val="18"/>
              </w:rPr>
              <w:t> </w:t>
            </w:r>
            <w:r>
              <w:rPr>
                <w:sz w:val="18"/>
              </w:rPr>
              <w:t>blood</w:t>
            </w:r>
          </w:p>
        </w:tc>
      </w:tr>
      <w:tr>
        <w:trPr>
          <w:trHeight w:val="441" w:hRule="atLeast"/>
        </w:trPr>
        <w:tc>
          <w:tcPr>
            <w:tcW w:w="1844" w:type="dxa"/>
            <w:tcBorders>
              <w:top w:val="single" w:sz="4" w:space="0" w:color="000000"/>
              <w:bottom w:val="single" w:sz="4" w:space="0" w:color="000000"/>
              <w:right w:val="nil"/>
            </w:tcBorders>
          </w:tcPr>
          <w:p>
            <w:pPr>
              <w:pStyle w:val="TableParagraph"/>
              <w:spacing w:before="1"/>
              <w:ind w:left="107"/>
              <w:rPr>
                <w:sz w:val="18"/>
              </w:rPr>
            </w:pPr>
            <w:r>
              <w:rPr>
                <w:sz w:val="18"/>
              </w:rPr>
              <w:t>Blood transfusion</w:t>
            </w:r>
          </w:p>
        </w:tc>
        <w:tc>
          <w:tcPr>
            <w:tcW w:w="1835" w:type="dxa"/>
            <w:tcBorders>
              <w:top w:val="single" w:sz="4" w:space="0" w:color="000000"/>
              <w:left w:val="nil"/>
              <w:bottom w:val="single" w:sz="4" w:space="0" w:color="000000"/>
              <w:right w:val="nil"/>
            </w:tcBorders>
          </w:tcPr>
          <w:p>
            <w:pPr>
              <w:pStyle w:val="TableParagraph"/>
              <w:spacing w:before="1"/>
              <w:ind w:left="117"/>
              <w:rPr>
                <w:sz w:val="18"/>
              </w:rPr>
            </w:pPr>
            <w:r>
              <w:rPr>
                <w:sz w:val="18"/>
              </w:rPr>
              <w:t>Blood typing</w:t>
            </w:r>
          </w:p>
        </w:tc>
        <w:tc>
          <w:tcPr>
            <w:tcW w:w="4796" w:type="dxa"/>
            <w:tcBorders>
              <w:top w:val="single" w:sz="4" w:space="0" w:color="000000"/>
              <w:left w:val="nil"/>
              <w:bottom w:val="single" w:sz="4" w:space="0" w:color="000000"/>
              <w:right w:val="nil"/>
            </w:tcBorders>
          </w:tcPr>
          <w:p>
            <w:pPr>
              <w:pStyle w:val="TableParagraph"/>
              <w:spacing w:line="219" w:lineRule="exact" w:before="1"/>
              <w:ind w:left="121"/>
              <w:rPr>
                <w:sz w:val="18"/>
              </w:rPr>
            </w:pPr>
            <w:r>
              <w:rPr>
                <w:sz w:val="18"/>
              </w:rPr>
              <w:t>To determine blood compatibility for blood transfusions; Rh</w:t>
            </w:r>
          </w:p>
          <w:p>
            <w:pPr>
              <w:pStyle w:val="TableParagraph"/>
              <w:spacing w:line="201" w:lineRule="exact"/>
              <w:ind w:left="121"/>
              <w:rPr>
                <w:sz w:val="18"/>
              </w:rPr>
            </w:pPr>
            <w:r>
              <w:rPr>
                <w:sz w:val="18"/>
              </w:rPr>
              <w:t>typing for pregnant women</w:t>
            </w:r>
          </w:p>
        </w:tc>
        <w:tc>
          <w:tcPr>
            <w:tcW w:w="2694" w:type="dxa"/>
            <w:tcBorders>
              <w:top w:val="single" w:sz="4" w:space="0" w:color="000000"/>
              <w:left w:val="nil"/>
              <w:bottom w:val="single" w:sz="4" w:space="0" w:color="000000"/>
              <w:right w:val="nil"/>
            </w:tcBorders>
          </w:tcPr>
          <w:p>
            <w:pPr>
              <w:pStyle w:val="TableParagraph"/>
              <w:spacing w:before="1"/>
              <w:ind w:left="120"/>
              <w:rPr>
                <w:sz w:val="18"/>
              </w:rPr>
            </w:pPr>
            <w:r>
              <w:rPr>
                <w:sz w:val="18"/>
              </w:rPr>
              <w:t>Antisera for agglutination</w:t>
            </w:r>
          </w:p>
        </w:tc>
        <w:tc>
          <w:tcPr>
            <w:tcW w:w="3119" w:type="dxa"/>
            <w:tcBorders>
              <w:top w:val="single" w:sz="4" w:space="0" w:color="000000"/>
              <w:left w:val="nil"/>
              <w:bottom w:val="single" w:sz="4" w:space="0" w:color="000000"/>
            </w:tcBorders>
          </w:tcPr>
          <w:p>
            <w:pPr>
              <w:pStyle w:val="TableParagraph"/>
              <w:spacing w:line="219" w:lineRule="exact" w:before="1"/>
              <w:ind w:left="120"/>
              <w:rPr>
                <w:sz w:val="18"/>
              </w:rPr>
            </w:pPr>
            <w:r>
              <w:rPr>
                <w:sz w:val="18"/>
              </w:rPr>
              <w:t>Capillary whole blood</w:t>
            </w:r>
          </w:p>
          <w:p>
            <w:pPr>
              <w:pStyle w:val="TableParagraph"/>
              <w:spacing w:line="201" w:lineRule="exact"/>
              <w:ind w:left="120"/>
              <w:rPr>
                <w:sz w:val="18"/>
              </w:rPr>
            </w:pPr>
            <w:r>
              <w:rPr>
                <w:sz w:val="18"/>
              </w:rPr>
              <w:t>Venous whole blood</w:t>
            </w:r>
          </w:p>
        </w:tc>
      </w:tr>
      <w:tr>
        <w:trPr>
          <w:trHeight w:val="439" w:hRule="atLeast"/>
        </w:trPr>
        <w:tc>
          <w:tcPr>
            <w:tcW w:w="1844" w:type="dxa"/>
            <w:tcBorders>
              <w:top w:val="single" w:sz="4" w:space="0" w:color="000000"/>
              <w:bottom w:val="single" w:sz="4" w:space="0" w:color="000000"/>
              <w:right w:val="nil"/>
            </w:tcBorders>
          </w:tcPr>
          <w:p>
            <w:pPr>
              <w:pStyle w:val="TableParagraph"/>
              <w:spacing w:line="219" w:lineRule="exact"/>
              <w:ind w:left="107"/>
              <w:rPr>
                <w:sz w:val="18"/>
              </w:rPr>
            </w:pPr>
            <w:r>
              <w:rPr>
                <w:sz w:val="18"/>
              </w:rPr>
              <w:t>Serology</w:t>
            </w:r>
          </w:p>
        </w:tc>
        <w:tc>
          <w:tcPr>
            <w:tcW w:w="1835" w:type="dxa"/>
            <w:tcBorders>
              <w:top w:val="single" w:sz="4" w:space="0" w:color="000000"/>
              <w:left w:val="nil"/>
              <w:bottom w:val="single" w:sz="4" w:space="0" w:color="000000"/>
              <w:right w:val="nil"/>
            </w:tcBorders>
          </w:tcPr>
          <w:p>
            <w:pPr>
              <w:pStyle w:val="TableParagraph"/>
              <w:spacing w:line="218" w:lineRule="exact"/>
              <w:ind w:left="117"/>
              <w:rPr>
                <w:sz w:val="18"/>
              </w:rPr>
            </w:pPr>
            <w:r>
              <w:rPr>
                <w:sz w:val="18"/>
              </w:rPr>
              <w:t>Human chorionic</w:t>
            </w:r>
          </w:p>
          <w:p>
            <w:pPr>
              <w:pStyle w:val="TableParagraph"/>
              <w:spacing w:line="201" w:lineRule="exact"/>
              <w:ind w:left="117"/>
              <w:rPr>
                <w:sz w:val="18"/>
              </w:rPr>
            </w:pPr>
            <w:r>
              <w:rPr>
                <w:sz w:val="18"/>
              </w:rPr>
              <w:t>gonadotropin (hCG)</w:t>
            </w:r>
          </w:p>
        </w:tc>
        <w:tc>
          <w:tcPr>
            <w:tcW w:w="4796" w:type="dxa"/>
            <w:tcBorders>
              <w:top w:val="single" w:sz="4" w:space="0" w:color="000000"/>
              <w:left w:val="nil"/>
              <w:bottom w:val="single" w:sz="4" w:space="0" w:color="000000"/>
              <w:right w:val="nil"/>
            </w:tcBorders>
          </w:tcPr>
          <w:p>
            <w:pPr>
              <w:pStyle w:val="TableParagraph"/>
              <w:spacing w:line="219" w:lineRule="exact"/>
              <w:ind w:left="121"/>
              <w:rPr>
                <w:sz w:val="18"/>
              </w:rPr>
            </w:pPr>
            <w:r>
              <w:rPr>
                <w:sz w:val="18"/>
              </w:rPr>
              <w:t>Pregnancy</w:t>
            </w:r>
          </w:p>
        </w:tc>
        <w:tc>
          <w:tcPr>
            <w:tcW w:w="2694" w:type="dxa"/>
            <w:tcBorders>
              <w:top w:val="single" w:sz="4" w:space="0" w:color="000000"/>
              <w:left w:val="nil"/>
              <w:bottom w:val="single" w:sz="4" w:space="0" w:color="000000"/>
              <w:right w:val="nil"/>
            </w:tcBorders>
          </w:tcPr>
          <w:p>
            <w:pPr>
              <w:pStyle w:val="TableParagraph"/>
              <w:spacing w:line="219" w:lineRule="exact"/>
              <w:ind w:left="120"/>
              <w:rPr>
                <w:sz w:val="18"/>
              </w:rPr>
            </w:pPr>
            <w:r>
              <w:rPr>
                <w:sz w:val="18"/>
              </w:rPr>
              <w:t>Dipstick</w:t>
            </w:r>
          </w:p>
        </w:tc>
        <w:tc>
          <w:tcPr>
            <w:tcW w:w="3119" w:type="dxa"/>
            <w:tcBorders>
              <w:top w:val="single" w:sz="4" w:space="0" w:color="000000"/>
              <w:left w:val="nil"/>
              <w:bottom w:val="single" w:sz="4" w:space="0" w:color="000000"/>
            </w:tcBorders>
          </w:tcPr>
          <w:p>
            <w:pPr>
              <w:pStyle w:val="TableParagraph"/>
              <w:spacing w:line="219" w:lineRule="exact"/>
              <w:ind w:left="120"/>
              <w:rPr>
                <w:sz w:val="18"/>
              </w:rPr>
            </w:pPr>
            <w:r>
              <w:rPr>
                <w:sz w:val="18"/>
              </w:rPr>
              <w:t>Urine</w:t>
            </w:r>
          </w:p>
        </w:tc>
      </w:tr>
      <w:tr>
        <w:trPr>
          <w:trHeight w:val="867" w:hRule="atLeast"/>
        </w:trPr>
        <w:tc>
          <w:tcPr>
            <w:tcW w:w="1844" w:type="dxa"/>
            <w:vMerge w:val="restart"/>
            <w:tcBorders>
              <w:top w:val="single" w:sz="4" w:space="0" w:color="000000"/>
              <w:right w:val="nil"/>
            </w:tcBorders>
          </w:tcPr>
          <w:p>
            <w:pPr>
              <w:pStyle w:val="TableParagraph"/>
              <w:ind w:left="107" w:right="703"/>
              <w:jc w:val="both"/>
              <w:rPr>
                <w:sz w:val="18"/>
              </w:rPr>
            </w:pPr>
            <w:r>
              <w:rPr>
                <w:sz w:val="18"/>
              </w:rPr>
              <w:t>Microbiology, mycology and parasitology</w:t>
            </w:r>
          </w:p>
        </w:tc>
        <w:tc>
          <w:tcPr>
            <w:tcW w:w="1835" w:type="dxa"/>
            <w:tcBorders>
              <w:top w:val="single" w:sz="4" w:space="0" w:color="000000"/>
              <w:left w:val="nil"/>
              <w:bottom w:val="single" w:sz="4" w:space="0" w:color="000000"/>
              <w:right w:val="nil"/>
            </w:tcBorders>
          </w:tcPr>
          <w:p>
            <w:pPr>
              <w:pStyle w:val="TableParagraph"/>
              <w:ind w:left="117" w:right="377"/>
              <w:rPr>
                <w:sz w:val="18"/>
              </w:rPr>
            </w:pPr>
            <w:r>
              <w:rPr>
                <w:sz w:val="18"/>
              </w:rPr>
              <w:t>Urine dipstick and urine microscopy</w:t>
            </w:r>
          </w:p>
        </w:tc>
        <w:tc>
          <w:tcPr>
            <w:tcW w:w="4796" w:type="dxa"/>
            <w:tcBorders>
              <w:top w:val="single" w:sz="4" w:space="0" w:color="000000"/>
              <w:left w:val="nil"/>
              <w:bottom w:val="single" w:sz="4" w:space="0" w:color="000000"/>
              <w:right w:val="nil"/>
            </w:tcBorders>
          </w:tcPr>
          <w:p>
            <w:pPr>
              <w:pStyle w:val="TableParagraph"/>
              <w:ind w:left="121"/>
              <w:rPr>
                <w:sz w:val="18"/>
              </w:rPr>
            </w:pPr>
            <w:r>
              <w:rPr>
                <w:sz w:val="18"/>
              </w:rPr>
              <w:t>Detection of UTIs (dipstick) and identification of red and white blood cells, casts, squamous epithelial cells, bacteria, yeast, </w:t>
            </w:r>
            <w:r>
              <w:rPr>
                <w:i/>
                <w:sz w:val="18"/>
              </w:rPr>
              <w:t>Schistosoma haematobium </w:t>
            </w:r>
            <w:r>
              <w:rPr>
                <w:sz w:val="18"/>
              </w:rPr>
              <w:t>and other cellular components</w:t>
            </w:r>
          </w:p>
          <w:p>
            <w:pPr>
              <w:pStyle w:val="TableParagraph"/>
              <w:spacing w:line="189" w:lineRule="exact"/>
              <w:ind w:left="121"/>
              <w:rPr>
                <w:sz w:val="18"/>
              </w:rPr>
            </w:pPr>
            <w:r>
              <w:rPr>
                <w:sz w:val="18"/>
              </w:rPr>
              <w:t>(microscopy)</w:t>
            </w:r>
          </w:p>
        </w:tc>
        <w:tc>
          <w:tcPr>
            <w:tcW w:w="2694" w:type="dxa"/>
            <w:tcBorders>
              <w:top w:val="single" w:sz="4" w:space="0" w:color="000000"/>
              <w:left w:val="nil"/>
              <w:bottom w:val="single" w:sz="4" w:space="0" w:color="000000"/>
              <w:right w:val="nil"/>
            </w:tcBorders>
          </w:tcPr>
          <w:p>
            <w:pPr>
              <w:pStyle w:val="TableParagraph"/>
              <w:ind w:left="120"/>
              <w:rPr>
                <w:sz w:val="18"/>
              </w:rPr>
            </w:pPr>
            <w:r>
              <w:rPr>
                <w:sz w:val="18"/>
              </w:rPr>
              <w:t>Multi-parameter strips (dipstick) and light microscopy</w:t>
            </w:r>
          </w:p>
        </w:tc>
        <w:tc>
          <w:tcPr>
            <w:tcW w:w="3119" w:type="dxa"/>
            <w:tcBorders>
              <w:top w:val="single" w:sz="4" w:space="0" w:color="000000"/>
              <w:left w:val="nil"/>
              <w:bottom w:val="single" w:sz="4" w:space="0" w:color="000000"/>
            </w:tcBorders>
          </w:tcPr>
          <w:p>
            <w:pPr>
              <w:pStyle w:val="TableParagraph"/>
              <w:spacing w:line="219" w:lineRule="exact"/>
              <w:ind w:left="120"/>
              <w:rPr>
                <w:sz w:val="18"/>
              </w:rPr>
            </w:pPr>
            <w:r>
              <w:rPr>
                <w:sz w:val="18"/>
              </w:rPr>
              <w:t>Urine</w:t>
            </w:r>
          </w:p>
        </w:tc>
      </w:tr>
      <w:tr>
        <w:trPr>
          <w:trHeight w:val="1091" w:hRule="atLeast"/>
        </w:trPr>
        <w:tc>
          <w:tcPr>
            <w:tcW w:w="1844" w:type="dxa"/>
            <w:vMerge/>
            <w:tcBorders>
              <w:top w:val="nil"/>
              <w:right w:val="nil"/>
            </w:tcBorders>
          </w:tcPr>
          <w:p>
            <w:pPr>
              <w:rPr>
                <w:sz w:val="2"/>
                <w:szCs w:val="2"/>
              </w:rPr>
            </w:pPr>
          </w:p>
        </w:tc>
        <w:tc>
          <w:tcPr>
            <w:tcW w:w="1835" w:type="dxa"/>
            <w:tcBorders>
              <w:top w:val="single" w:sz="4" w:space="0" w:color="000000"/>
              <w:left w:val="nil"/>
              <w:right w:val="nil"/>
            </w:tcBorders>
          </w:tcPr>
          <w:p>
            <w:pPr>
              <w:pStyle w:val="TableParagraph"/>
              <w:spacing w:line="211" w:lineRule="exact"/>
              <w:ind w:left="117"/>
              <w:rPr>
                <w:sz w:val="18"/>
              </w:rPr>
            </w:pPr>
            <w:r>
              <w:rPr>
                <w:sz w:val="18"/>
              </w:rPr>
              <w:t>Microscopy</w:t>
            </w:r>
          </w:p>
        </w:tc>
        <w:tc>
          <w:tcPr>
            <w:tcW w:w="4796" w:type="dxa"/>
            <w:tcBorders>
              <w:top w:val="single" w:sz="4" w:space="0" w:color="000000"/>
              <w:left w:val="nil"/>
              <w:right w:val="nil"/>
            </w:tcBorders>
          </w:tcPr>
          <w:p>
            <w:pPr>
              <w:pStyle w:val="TableParagraph"/>
              <w:spacing w:line="237" w:lineRule="auto"/>
              <w:ind w:left="121" w:right="87"/>
              <w:rPr>
                <w:sz w:val="18"/>
              </w:rPr>
            </w:pPr>
            <w:r>
              <w:rPr>
                <w:sz w:val="18"/>
              </w:rPr>
              <w:t>Microbial morphology, presence/absence of white blood cells versus squamous epithelial cells for presumptive identification</w:t>
            </w:r>
          </w:p>
        </w:tc>
        <w:tc>
          <w:tcPr>
            <w:tcW w:w="2694" w:type="dxa"/>
            <w:tcBorders>
              <w:top w:val="single" w:sz="4" w:space="0" w:color="000000"/>
              <w:left w:val="nil"/>
              <w:right w:val="nil"/>
            </w:tcBorders>
          </w:tcPr>
          <w:p>
            <w:pPr>
              <w:pStyle w:val="TableParagraph"/>
              <w:ind w:left="120" w:right="93"/>
              <w:rPr>
                <w:sz w:val="18"/>
              </w:rPr>
            </w:pPr>
            <w:r>
              <w:rPr>
                <w:sz w:val="18"/>
              </w:rPr>
              <w:t>Microscopic examination of slides as wet preparations or which have been treated with a variety of organism-specific chemical</w:t>
            </w:r>
          </w:p>
          <w:p>
            <w:pPr>
              <w:pStyle w:val="TableParagraph"/>
              <w:spacing w:line="201" w:lineRule="exact"/>
              <w:ind w:left="120"/>
              <w:rPr>
                <w:sz w:val="18"/>
              </w:rPr>
            </w:pPr>
            <w:r>
              <w:rPr>
                <w:sz w:val="18"/>
              </w:rPr>
              <w:t>stains (e.g. Gram stain)</w:t>
            </w:r>
          </w:p>
        </w:tc>
        <w:tc>
          <w:tcPr>
            <w:tcW w:w="3119" w:type="dxa"/>
            <w:tcBorders>
              <w:top w:val="single" w:sz="4" w:space="0" w:color="000000"/>
              <w:left w:val="nil"/>
            </w:tcBorders>
          </w:tcPr>
          <w:p>
            <w:pPr>
              <w:pStyle w:val="TableParagraph"/>
              <w:spacing w:line="237" w:lineRule="auto"/>
              <w:ind w:left="120"/>
              <w:rPr>
                <w:sz w:val="18"/>
              </w:rPr>
            </w:pPr>
            <w:r>
              <w:rPr>
                <w:sz w:val="18"/>
              </w:rPr>
              <w:t>Disease appropriate specimens (e.g. venous whole blood, urine, stool, etc.)</w:t>
            </w:r>
          </w:p>
        </w:tc>
      </w:tr>
    </w:tbl>
    <w:p>
      <w:pPr>
        <w:spacing w:after="0" w:line="237" w:lineRule="auto"/>
        <w:rPr>
          <w:sz w:val="18"/>
        </w:rPr>
        <w:sectPr>
          <w:headerReference w:type="default" r:id="rId32"/>
          <w:footerReference w:type="default" r:id="rId33"/>
          <w:pgSz w:w="16840" w:h="11910" w:orient="landscape"/>
          <w:pgMar w:header="0" w:footer="495" w:top="1100" w:bottom="680" w:left="1180" w:right="920"/>
          <w:pgNumType w:start="11"/>
        </w:sectPr>
      </w:pPr>
    </w:p>
    <w:p>
      <w:pPr>
        <w:pStyle w:val="BodyText"/>
        <w:rPr>
          <w:rFonts w:ascii="Times New Roman"/>
          <w:sz w:val="29"/>
        </w:rPr>
      </w:pPr>
      <w:r>
        <w:rPr/>
        <w:pict>
          <v:group style="position:absolute;margin-left:122.300003pt;margin-top:97.220009pt;width:.5pt;height:100.15pt;mso-position-horizontal-relative:page;mso-position-vertical-relative:page;z-index:-124432" coordorigin="2446,1944" coordsize="10,2003">
            <v:shape style="position:absolute;left:2446;top:1944;width:10;height:444" type="#_x0000_t75" stroked="false">
              <v:imagedata r:id="rId66" o:title=""/>
            </v:shape>
            <v:shape style="position:absolute;left:2446;top:2388;width:10;height:10" type="#_x0000_t75" stroked="false">
              <v:imagedata r:id="rId61" o:title=""/>
            </v:shape>
            <v:shape style="position:absolute;left:2446;top:2398;width:10;height:1549" type="#_x0000_t75" stroked="false">
              <v:imagedata r:id="rId67" o:title=""/>
            </v:shape>
            <w10:wrap type="none"/>
          </v:group>
        </w:pict>
      </w:r>
      <w:r>
        <w:rPr/>
        <w:pict>
          <v:group style="position:absolute;margin-left:199.339996pt;margin-top:97.220009pt;width:.5pt;height:372.2pt;mso-position-horizontal-relative:page;mso-position-vertical-relative:page;z-index:-124408" coordorigin="3987,1944" coordsize="10,7444">
            <v:shape style="position:absolute;left:3986;top:1944;width:10;height:444" type="#_x0000_t75" stroked="false">
              <v:imagedata r:id="rId66" o:title=""/>
            </v:shape>
            <v:shape style="position:absolute;left:3986;top:2388;width:10;height:10" type="#_x0000_t75" stroked="false">
              <v:imagedata r:id="rId61" o:title=""/>
            </v:shape>
            <v:shape style="position:absolute;left:3986;top:2402;width:10;height:1532" type="#_x0000_t75" stroked="false">
              <v:imagedata r:id="rId68" o:title=""/>
            </v:shape>
            <v:shape style="position:absolute;left:3986;top:3937;width:10;height:10" type="#_x0000_t75" stroked="false">
              <v:imagedata r:id="rId61" o:title=""/>
            </v:shape>
            <v:shape style="position:absolute;left:3986;top:3946;width:10;height:1084" type="#_x0000_t75" stroked="false">
              <v:imagedata r:id="rId69" o:title=""/>
            </v:shape>
            <v:shape style="position:absolute;left:3986;top:5045;width:10;height:10" type="#_x0000_t75" stroked="false">
              <v:imagedata r:id="rId61" o:title=""/>
            </v:shape>
            <v:shape style="position:absolute;left:3986;top:5055;width:10;height:1110" type="#_x0000_t75" stroked="false">
              <v:imagedata r:id="rId70" o:title=""/>
            </v:shape>
            <v:shape style="position:absolute;left:3986;top:6164;width:10;height:1272" type="#_x0000_t75" stroked="false">
              <v:imagedata r:id="rId71" o:title=""/>
            </v:shape>
            <v:shape style="position:absolute;left:3986;top:7436;width:10;height:1952" type="#_x0000_t75" stroked="false">
              <v:imagedata r:id="rId72" o:title=""/>
            </v:shape>
            <w10:wrap type="none"/>
          </v:group>
        </w:pict>
      </w:r>
      <w:r>
        <w:rPr/>
        <w:pict>
          <v:group style="position:absolute;margin-left:348.290009pt;margin-top:97.220009pt;width:.5pt;height:372.2pt;mso-position-horizontal-relative:page;mso-position-vertical-relative:page;z-index:-124384" coordorigin="6966,1944" coordsize="10,7444">
            <v:shape style="position:absolute;left:6965;top:1944;width:10;height:444" type="#_x0000_t75" stroked="false">
              <v:imagedata r:id="rId66" o:title=""/>
            </v:shape>
            <v:shape style="position:absolute;left:6965;top:2388;width:10;height:10" type="#_x0000_t75" stroked="false">
              <v:imagedata r:id="rId61" o:title=""/>
            </v:shape>
            <v:shape style="position:absolute;left:6965;top:2402;width:10;height:1532" type="#_x0000_t75" stroked="false">
              <v:imagedata r:id="rId68" o:title=""/>
            </v:shape>
            <v:shape style="position:absolute;left:6965;top:3937;width:10;height:10" type="#_x0000_t75" stroked="false">
              <v:imagedata r:id="rId61" o:title=""/>
            </v:shape>
            <v:shape style="position:absolute;left:6965;top:3946;width:10;height:1084" type="#_x0000_t75" stroked="false">
              <v:imagedata r:id="rId69" o:title=""/>
            </v:shape>
            <v:shape style="position:absolute;left:6965;top:5045;width:10;height:10" type="#_x0000_t75" stroked="false">
              <v:imagedata r:id="rId61" o:title=""/>
            </v:shape>
            <v:shape style="position:absolute;left:6965;top:5055;width:10;height:1110" type="#_x0000_t75" stroked="false">
              <v:imagedata r:id="rId70" o:title=""/>
            </v:shape>
            <v:shape style="position:absolute;left:6965;top:6164;width:10;height:1263" type="#_x0000_t75" stroked="false">
              <v:imagedata r:id="rId73" o:title=""/>
            </v:shape>
            <v:shape style="position:absolute;left:6965;top:7427;width:10;height:10" type="#_x0000_t75" stroked="false">
              <v:imagedata r:id="rId61" o:title=""/>
            </v:shape>
            <v:shape style="position:absolute;left:6965;top:7436;width:10;height:1952" type="#_x0000_t75" stroked="false">
              <v:imagedata r:id="rId72" o:title=""/>
            </v:shape>
            <w10:wrap type="none"/>
          </v:group>
        </w:pict>
      </w:r>
      <w:r>
        <w:rPr/>
        <w:pict>
          <v:group style="position:absolute;margin-left:461.829987pt;margin-top:97.220009pt;width:.5pt;height:372.2pt;mso-position-horizontal-relative:page;mso-position-vertical-relative:page;z-index:-124360" coordorigin="9237,1944" coordsize="10,7444">
            <v:shape style="position:absolute;left:9236;top:1944;width:10;height:444" type="#_x0000_t75" stroked="false">
              <v:imagedata r:id="rId66" o:title=""/>
            </v:shape>
            <v:shape style="position:absolute;left:9236;top:2388;width:10;height:10" type="#_x0000_t75" stroked="false">
              <v:imagedata r:id="rId61" o:title=""/>
            </v:shape>
            <v:shape style="position:absolute;left:9236;top:2402;width:10;height:1532" type="#_x0000_t75" stroked="false">
              <v:imagedata r:id="rId68" o:title=""/>
            </v:shape>
            <v:shape style="position:absolute;left:9236;top:3937;width:10;height:10" type="#_x0000_t75" stroked="false">
              <v:imagedata r:id="rId61" o:title=""/>
            </v:shape>
            <v:shape style="position:absolute;left:9236;top:3946;width:10;height:1084" type="#_x0000_t75" stroked="false">
              <v:imagedata r:id="rId69" o:title=""/>
            </v:shape>
            <v:shape style="position:absolute;left:9236;top:5045;width:10;height:10" type="#_x0000_t75" stroked="false">
              <v:imagedata r:id="rId61" o:title=""/>
            </v:shape>
            <v:shape style="position:absolute;left:9236;top:5055;width:10;height:1110" type="#_x0000_t75" stroked="false">
              <v:imagedata r:id="rId70" o:title=""/>
            </v:shape>
            <v:shape style="position:absolute;left:9236;top:6164;width:10;height:1263" type="#_x0000_t75" stroked="false">
              <v:imagedata r:id="rId73" o:title=""/>
            </v:shape>
            <v:shape style="position:absolute;left:9236;top:7427;width:10;height:10" type="#_x0000_t75" stroked="false">
              <v:imagedata r:id="rId61" o:title=""/>
            </v:shape>
            <v:shape style="position:absolute;left:9236;top:7436;width:10;height:1952" type="#_x0000_t75" stroked="false">
              <v:imagedata r:id="rId72" o:title=""/>
            </v:shape>
            <w10:wrap type="none"/>
          </v:group>
        </w:pict>
      </w:r>
      <w:r>
        <w:rPr/>
        <w:pict>
          <v:group style="position:absolute;margin-left:284.450012pt;margin-top:97.220009pt;width:.5pt;height:372.2pt;mso-position-horizontal-relative:page;mso-position-vertical-relative:page;z-index:-124336" coordorigin="5689,1944" coordsize="10,7444">
            <v:shape style="position:absolute;left:5689;top:1944;width:10;height:454" type="#_x0000_t75" stroked="false">
              <v:imagedata r:id="rId74" o:title=""/>
            </v:shape>
            <v:shape style="position:absolute;left:5689;top:2398;width:10;height:1549" type="#_x0000_t75" stroked="false">
              <v:imagedata r:id="rId75" o:title=""/>
            </v:shape>
            <v:shape style="position:absolute;left:5689;top:3946;width:10;height:1109" type="#_x0000_t75" stroked="false">
              <v:imagedata r:id="rId76" o:title=""/>
            </v:shape>
            <v:shape style="position:absolute;left:5689;top:5055;width:10;height:1110" type="#_x0000_t75" stroked="false">
              <v:imagedata r:id="rId70" o:title=""/>
            </v:shape>
            <v:shape style="position:absolute;left:5689;top:6164;width:10;height:1272" type="#_x0000_t75" stroked="false">
              <v:imagedata r:id="rId77" o:title=""/>
            </v:shape>
            <v:shape style="position:absolute;left:5689;top:7436;width:10;height:1952" type="#_x0000_t75" stroked="false">
              <v:imagedata r:id="rId72" o:title=""/>
            </v:shape>
            <w10:wrap type="none"/>
          </v:group>
        </w:pict>
      </w:r>
      <w:r>
        <w:rPr/>
        <w:pict>
          <v:group style="position:absolute;margin-left:122.300003pt;margin-top:197.330002pt;width:.5pt;height:272.1pt;mso-position-horizontal-relative:page;mso-position-vertical-relative:page;z-index:-124312" coordorigin="2446,3947" coordsize="10,5442">
            <v:shape style="position:absolute;left:2446;top:3946;width:10;height:1084" type="#_x0000_t75" stroked="false">
              <v:imagedata r:id="rId69" o:title=""/>
            </v:shape>
            <v:shape style="position:absolute;left:2446;top:5045;width:10;height:10" type="#_x0000_t75" stroked="false">
              <v:imagedata r:id="rId61" o:title=""/>
            </v:shape>
            <v:shape style="position:absolute;left:2446;top:5055;width:10;height:1110" type="#_x0000_t75" stroked="false">
              <v:imagedata r:id="rId70" o:title=""/>
            </v:shape>
            <v:shape style="position:absolute;left:2446;top:6164;width:10;height:3224" type="#_x0000_t75" stroked="false">
              <v:imagedata r:id="rId78" o:title=""/>
            </v:shape>
            <w10:wrap type="none"/>
          </v:group>
        </w:pict>
      </w:r>
      <w:r>
        <w:rPr/>
        <w:drawing>
          <wp:anchor distT="0" distB="0" distL="0" distR="0" allowOverlap="1" layoutInCell="1" locked="0" behindDoc="1" simplePos="0" relativeHeight="268311167">
            <wp:simplePos x="0" y="0"/>
            <wp:positionH relativeFrom="page">
              <wp:posOffset>7124445</wp:posOffset>
            </wp:positionH>
            <wp:positionV relativeFrom="page">
              <wp:posOffset>1234694</wp:posOffset>
            </wp:positionV>
            <wp:extent cx="6094" cy="4725924"/>
            <wp:effectExtent l="0" t="0" r="0" b="0"/>
            <wp:wrapNone/>
            <wp:docPr id="13" name="image54.png" descr=""/>
            <wp:cNvGraphicFramePr>
              <a:graphicFrameLocks noChangeAspect="1"/>
            </wp:cNvGraphicFramePr>
            <a:graphic>
              <a:graphicData uri="http://schemas.openxmlformats.org/drawingml/2006/picture">
                <pic:pic>
                  <pic:nvPicPr>
                    <pic:cNvPr id="14" name="image54.png"/>
                    <pic:cNvPicPr/>
                  </pic:nvPicPr>
                  <pic:blipFill>
                    <a:blip r:embed="rId79" cstate="print"/>
                    <a:stretch>
                      <a:fillRect/>
                    </a:stretch>
                  </pic:blipFill>
                  <pic:spPr>
                    <a:xfrm>
                      <a:off x="0" y="0"/>
                      <a:ext cx="6094" cy="4725924"/>
                    </a:xfrm>
                    <a:prstGeom prst="rect">
                      <a:avLst/>
                    </a:prstGeom>
                  </pic:spPr>
                </pic:pic>
              </a:graphicData>
            </a:graphic>
          </wp:anchor>
        </w:drawing>
      </w: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2"/>
        <w:gridCol w:w="1540"/>
        <w:gridCol w:w="1701"/>
        <w:gridCol w:w="1276"/>
        <w:gridCol w:w="2269"/>
        <w:gridCol w:w="1984"/>
        <w:gridCol w:w="4109"/>
      </w:tblGrid>
      <w:tr>
        <w:trPr>
          <w:trHeight w:val="464" w:hRule="atLeast"/>
        </w:trPr>
        <w:tc>
          <w:tcPr>
            <w:tcW w:w="14031" w:type="dxa"/>
            <w:gridSpan w:val="7"/>
            <w:tcBorders>
              <w:top w:val="single" w:sz="12" w:space="0" w:color="000000"/>
              <w:left w:val="single" w:sz="12" w:space="0" w:color="000000"/>
              <w:bottom w:val="single" w:sz="4" w:space="0" w:color="000000"/>
              <w:right w:val="single" w:sz="12" w:space="0" w:color="000000"/>
            </w:tcBorders>
            <w:shd w:val="clear" w:color="auto" w:fill="E7E6E6"/>
          </w:tcPr>
          <w:p>
            <w:pPr>
              <w:pStyle w:val="TableParagraph"/>
              <w:spacing w:line="267" w:lineRule="exact"/>
              <w:ind w:left="107"/>
              <w:rPr>
                <w:b/>
                <w:sz w:val="22"/>
              </w:rPr>
            </w:pPr>
            <w:bookmarkStart w:name="_bookmark5" w:id="7"/>
            <w:bookmarkEnd w:id="7"/>
            <w:r>
              <w:rPr/>
            </w:r>
            <w:r>
              <w:rPr>
                <w:b/>
                <w:sz w:val="22"/>
              </w:rPr>
              <w:t>I.b Disease-specific IVDs for primary health care</w:t>
            </w:r>
          </w:p>
        </w:tc>
      </w:tr>
      <w:tr>
        <w:trPr>
          <w:trHeight w:val="443" w:hRule="atLeast"/>
        </w:trPr>
        <w:tc>
          <w:tcPr>
            <w:tcW w:w="1152" w:type="dxa"/>
            <w:tcBorders>
              <w:top w:val="single" w:sz="4" w:space="0" w:color="000000"/>
              <w:left w:val="single" w:sz="12" w:space="0" w:color="000000"/>
              <w:bottom w:val="single" w:sz="4" w:space="0" w:color="000000"/>
            </w:tcBorders>
            <w:shd w:val="clear" w:color="auto" w:fill="E7E6E6"/>
          </w:tcPr>
          <w:p>
            <w:pPr>
              <w:pStyle w:val="TableParagraph"/>
              <w:rPr>
                <w:rFonts w:ascii="Times New Roman"/>
                <w:sz w:val="18"/>
              </w:rPr>
            </w:pPr>
          </w:p>
        </w:tc>
        <w:tc>
          <w:tcPr>
            <w:tcW w:w="1540" w:type="dxa"/>
            <w:tcBorders>
              <w:top w:val="single" w:sz="4" w:space="0" w:color="000000"/>
              <w:bottom w:val="single" w:sz="4" w:space="0" w:color="000000"/>
            </w:tcBorders>
            <w:shd w:val="clear" w:color="auto" w:fill="E7E6E6"/>
          </w:tcPr>
          <w:p>
            <w:pPr>
              <w:pStyle w:val="TableParagraph"/>
              <w:spacing w:line="194" w:lineRule="exact"/>
              <w:ind w:left="122"/>
              <w:rPr>
                <w:b/>
                <w:sz w:val="16"/>
              </w:rPr>
            </w:pPr>
            <w:r>
              <w:rPr>
                <w:b/>
                <w:sz w:val="16"/>
              </w:rPr>
              <w:t>Diagnostic test</w:t>
            </w:r>
          </w:p>
        </w:tc>
        <w:tc>
          <w:tcPr>
            <w:tcW w:w="1701" w:type="dxa"/>
            <w:tcBorders>
              <w:top w:val="single" w:sz="4" w:space="0" w:color="000000"/>
              <w:bottom w:val="single" w:sz="4" w:space="0" w:color="000000"/>
            </w:tcBorders>
            <w:shd w:val="clear" w:color="auto" w:fill="E7E6E6"/>
          </w:tcPr>
          <w:p>
            <w:pPr>
              <w:pStyle w:val="TableParagraph"/>
              <w:spacing w:line="194" w:lineRule="exact"/>
              <w:ind w:left="123"/>
              <w:rPr>
                <w:b/>
                <w:sz w:val="16"/>
              </w:rPr>
            </w:pPr>
            <w:r>
              <w:rPr>
                <w:b/>
                <w:sz w:val="16"/>
              </w:rPr>
              <w:t>Test purpose</w:t>
            </w:r>
          </w:p>
        </w:tc>
        <w:tc>
          <w:tcPr>
            <w:tcW w:w="1276" w:type="dxa"/>
            <w:tcBorders>
              <w:top w:val="single" w:sz="4" w:space="0" w:color="000000"/>
              <w:bottom w:val="single" w:sz="4" w:space="0" w:color="000000"/>
            </w:tcBorders>
            <w:shd w:val="clear" w:color="auto" w:fill="E7E6E6"/>
          </w:tcPr>
          <w:p>
            <w:pPr>
              <w:pStyle w:val="TableParagraph"/>
              <w:spacing w:line="194" w:lineRule="exact"/>
              <w:ind w:left="124"/>
              <w:rPr>
                <w:b/>
                <w:sz w:val="16"/>
              </w:rPr>
            </w:pPr>
            <w:r>
              <w:rPr>
                <w:b/>
                <w:sz w:val="16"/>
              </w:rPr>
              <w:t>Assay format</w:t>
            </w:r>
          </w:p>
        </w:tc>
        <w:tc>
          <w:tcPr>
            <w:tcW w:w="2269" w:type="dxa"/>
            <w:tcBorders>
              <w:top w:val="single" w:sz="4" w:space="0" w:color="000000"/>
              <w:bottom w:val="single" w:sz="4" w:space="0" w:color="000000"/>
            </w:tcBorders>
            <w:shd w:val="clear" w:color="auto" w:fill="E7E6E6"/>
          </w:tcPr>
          <w:p>
            <w:pPr>
              <w:pStyle w:val="TableParagraph"/>
              <w:spacing w:line="194" w:lineRule="exact"/>
              <w:ind w:left="125"/>
              <w:rPr>
                <w:b/>
                <w:sz w:val="16"/>
              </w:rPr>
            </w:pPr>
            <w:r>
              <w:rPr>
                <w:b/>
                <w:sz w:val="16"/>
              </w:rPr>
              <w:t>Specimen type</w:t>
            </w:r>
          </w:p>
        </w:tc>
        <w:tc>
          <w:tcPr>
            <w:tcW w:w="1984" w:type="dxa"/>
            <w:tcBorders>
              <w:top w:val="single" w:sz="4" w:space="0" w:color="000000"/>
              <w:bottom w:val="single" w:sz="4" w:space="0" w:color="000000"/>
            </w:tcBorders>
            <w:shd w:val="clear" w:color="auto" w:fill="E7E6E6"/>
          </w:tcPr>
          <w:p>
            <w:pPr>
              <w:pStyle w:val="TableParagraph"/>
              <w:ind w:left="127" w:right="458"/>
              <w:rPr>
                <w:b/>
                <w:sz w:val="16"/>
              </w:rPr>
            </w:pPr>
            <w:r>
              <w:rPr>
                <w:b/>
                <w:sz w:val="16"/>
              </w:rPr>
              <w:t>WHO prequalified or endorsed products</w:t>
            </w:r>
          </w:p>
        </w:tc>
        <w:tc>
          <w:tcPr>
            <w:tcW w:w="4109" w:type="dxa"/>
            <w:tcBorders>
              <w:top w:val="single" w:sz="4" w:space="0" w:color="000000"/>
              <w:bottom w:val="single" w:sz="4" w:space="0" w:color="000000"/>
              <w:right w:val="single" w:sz="12" w:space="0" w:color="000000"/>
            </w:tcBorders>
            <w:shd w:val="clear" w:color="auto" w:fill="E7E6E6"/>
          </w:tcPr>
          <w:p>
            <w:pPr>
              <w:pStyle w:val="TableParagraph"/>
              <w:spacing w:line="194" w:lineRule="exact"/>
              <w:ind w:left="126"/>
              <w:rPr>
                <w:b/>
                <w:sz w:val="16"/>
              </w:rPr>
            </w:pPr>
            <w:r>
              <w:rPr>
                <w:b/>
                <w:sz w:val="16"/>
              </w:rPr>
              <w:t>WHO supporting documents</w:t>
            </w:r>
          </w:p>
        </w:tc>
      </w:tr>
      <w:tr>
        <w:trPr>
          <w:trHeight w:val="1561" w:hRule="atLeast"/>
        </w:trPr>
        <w:tc>
          <w:tcPr>
            <w:tcW w:w="1152" w:type="dxa"/>
            <w:tcBorders>
              <w:top w:val="single" w:sz="4" w:space="0" w:color="000000"/>
              <w:left w:val="single" w:sz="12" w:space="0" w:color="000000"/>
            </w:tcBorders>
          </w:tcPr>
          <w:p>
            <w:pPr>
              <w:pStyle w:val="TableParagraph"/>
              <w:spacing w:before="1"/>
              <w:ind w:left="107"/>
              <w:rPr>
                <w:sz w:val="18"/>
              </w:rPr>
            </w:pPr>
            <w:r>
              <w:rPr>
                <w:sz w:val="18"/>
              </w:rPr>
              <w:t>Hepatitis B</w:t>
            </w:r>
          </w:p>
        </w:tc>
        <w:tc>
          <w:tcPr>
            <w:tcW w:w="1540" w:type="dxa"/>
            <w:tcBorders>
              <w:top w:val="single" w:sz="4" w:space="0" w:color="000000"/>
            </w:tcBorders>
          </w:tcPr>
          <w:p>
            <w:pPr>
              <w:pStyle w:val="TableParagraph"/>
              <w:spacing w:before="1"/>
              <w:ind w:left="122" w:right="271"/>
              <w:rPr>
                <w:sz w:val="18"/>
              </w:rPr>
            </w:pPr>
            <w:r>
              <w:rPr>
                <w:sz w:val="18"/>
              </w:rPr>
              <w:t>Hepatitis B surface antigen (HBsAg)</w:t>
            </w:r>
          </w:p>
        </w:tc>
        <w:tc>
          <w:tcPr>
            <w:tcW w:w="1701" w:type="dxa"/>
            <w:tcBorders>
              <w:top w:val="single" w:sz="4" w:space="0" w:color="000000"/>
            </w:tcBorders>
          </w:tcPr>
          <w:p>
            <w:pPr>
              <w:pStyle w:val="TableParagraph"/>
              <w:spacing w:before="1"/>
              <w:ind w:left="123" w:right="141"/>
              <w:rPr>
                <w:sz w:val="18"/>
              </w:rPr>
            </w:pPr>
            <w:r>
              <w:rPr>
                <w:sz w:val="18"/>
              </w:rPr>
              <w:t>Screening for acute and chronic hepatitis B (HBV) infection: infants over 12 months of age, children,</w:t>
            </w:r>
          </w:p>
          <w:p>
            <w:pPr>
              <w:pStyle w:val="TableParagraph"/>
              <w:tabs>
                <w:tab w:pos="123" w:val="left" w:leader="none"/>
                <w:tab w:pos="7243" w:val="left" w:leader="none"/>
              </w:tabs>
              <w:ind w:left="-1521" w:right="-5544"/>
              <w:rPr>
                <w:sz w:val="18"/>
              </w:rPr>
            </w:pPr>
            <w:r>
              <w:rPr>
                <w:sz w:val="18"/>
                <w:u w:val="single"/>
              </w:rPr>
              <w:t> </w:t>
              <w:tab/>
              <w:t>adolescents,</w:t>
            </w:r>
            <w:r>
              <w:rPr>
                <w:spacing w:val="-8"/>
                <w:sz w:val="18"/>
                <w:u w:val="single"/>
              </w:rPr>
              <w:t> </w:t>
            </w:r>
            <w:r>
              <w:rPr>
                <w:sz w:val="18"/>
                <w:u w:val="single"/>
              </w:rPr>
              <w:t>adults</w:t>
              <w:tab/>
            </w:r>
          </w:p>
        </w:tc>
        <w:tc>
          <w:tcPr>
            <w:tcW w:w="1276" w:type="dxa"/>
            <w:tcBorders>
              <w:top w:val="single" w:sz="4" w:space="0" w:color="000000"/>
            </w:tcBorders>
          </w:tcPr>
          <w:p>
            <w:pPr>
              <w:pStyle w:val="TableParagraph"/>
              <w:spacing w:before="1"/>
              <w:ind w:left="124"/>
              <w:rPr>
                <w:sz w:val="18"/>
              </w:rPr>
            </w:pPr>
            <w:r>
              <w:rPr>
                <w:sz w:val="18"/>
              </w:rPr>
              <w:t>RDT</w:t>
            </w:r>
          </w:p>
        </w:tc>
        <w:tc>
          <w:tcPr>
            <w:tcW w:w="2269" w:type="dxa"/>
            <w:tcBorders>
              <w:top w:val="single" w:sz="4" w:space="0" w:color="000000"/>
            </w:tcBorders>
          </w:tcPr>
          <w:p>
            <w:pPr>
              <w:pStyle w:val="TableParagraph"/>
              <w:spacing w:line="219" w:lineRule="exact" w:before="1"/>
              <w:ind w:left="125"/>
              <w:rPr>
                <w:sz w:val="18"/>
              </w:rPr>
            </w:pPr>
            <w:r>
              <w:rPr>
                <w:sz w:val="18"/>
              </w:rPr>
              <w:t>Oral fluid</w:t>
            </w:r>
          </w:p>
          <w:p>
            <w:pPr>
              <w:pStyle w:val="TableParagraph"/>
              <w:spacing w:line="219" w:lineRule="exact"/>
              <w:ind w:left="125"/>
              <w:rPr>
                <w:sz w:val="18"/>
              </w:rPr>
            </w:pPr>
            <w:r>
              <w:rPr>
                <w:sz w:val="18"/>
              </w:rPr>
              <w:t>Capillary whole blood</w:t>
            </w:r>
          </w:p>
        </w:tc>
        <w:tc>
          <w:tcPr>
            <w:tcW w:w="1984" w:type="dxa"/>
            <w:tcBorders>
              <w:top w:val="single" w:sz="4" w:space="0" w:color="000000"/>
            </w:tcBorders>
          </w:tcPr>
          <w:p>
            <w:pPr>
              <w:pStyle w:val="TableParagraph"/>
              <w:spacing w:before="1"/>
              <w:ind w:left="127" w:right="136"/>
              <w:rPr>
                <w:sz w:val="18"/>
              </w:rPr>
            </w:pPr>
            <w:hyperlink r:id="rId80">
              <w:r>
                <w:rPr>
                  <w:color w:val="0462C1"/>
                  <w:sz w:val="18"/>
                  <w:u w:val="single" w:color="0462C1"/>
                </w:rPr>
                <w:t>http://www.who.int/di</w:t>
              </w:r>
            </w:hyperlink>
            <w:r>
              <w:rPr>
                <w:color w:val="0462C1"/>
                <w:sz w:val="18"/>
              </w:rPr>
              <w:t> </w:t>
            </w:r>
            <w:hyperlink r:id="rId80">
              <w:r>
                <w:rPr>
                  <w:color w:val="0462C1"/>
                  <w:sz w:val="18"/>
                  <w:u w:val="single" w:color="0462C1"/>
                </w:rPr>
                <w:t>agnostics_laboratory/e</w:t>
              </w:r>
            </w:hyperlink>
            <w:r>
              <w:rPr>
                <w:color w:val="0462C1"/>
                <w:sz w:val="18"/>
              </w:rPr>
              <w:t> </w:t>
            </w:r>
            <w:hyperlink r:id="rId80">
              <w:r>
                <w:rPr>
                  <w:color w:val="0462C1"/>
                  <w:sz w:val="18"/>
                  <w:u w:val="single" w:color="0462C1"/>
                </w:rPr>
                <w:t>valuations/pq-</w:t>
              </w:r>
            </w:hyperlink>
            <w:r>
              <w:rPr>
                <w:color w:val="0462C1"/>
                <w:sz w:val="18"/>
              </w:rPr>
              <w:t> </w:t>
            </w:r>
            <w:hyperlink r:id="rId80">
              <w:r>
                <w:rPr>
                  <w:color w:val="0462C1"/>
                  <w:sz w:val="18"/>
                  <w:u w:val="single" w:color="0462C1"/>
                </w:rPr>
                <w:t>list/hbsag/public_repor</w:t>
              </w:r>
            </w:hyperlink>
            <w:r>
              <w:rPr>
                <w:color w:val="0462C1"/>
                <w:sz w:val="18"/>
              </w:rPr>
              <w:t> </w:t>
            </w:r>
            <w:hyperlink r:id="rId80">
              <w:r>
                <w:rPr>
                  <w:color w:val="0462C1"/>
                  <w:sz w:val="18"/>
                  <w:u w:val="single" w:color="0462C1"/>
                </w:rPr>
                <w:t>t/en/</w:t>
              </w:r>
            </w:hyperlink>
          </w:p>
        </w:tc>
        <w:tc>
          <w:tcPr>
            <w:tcW w:w="4109" w:type="dxa"/>
            <w:tcBorders>
              <w:top w:val="single" w:sz="4" w:space="0" w:color="000000"/>
              <w:right w:val="single" w:sz="12" w:space="0" w:color="000000"/>
            </w:tcBorders>
          </w:tcPr>
          <w:p>
            <w:pPr>
              <w:pStyle w:val="TableParagraph"/>
              <w:spacing w:before="1"/>
              <w:ind w:left="126" w:right="384"/>
              <w:rPr>
                <w:sz w:val="18"/>
              </w:rPr>
            </w:pPr>
            <w:r>
              <w:rPr>
                <w:sz w:val="18"/>
              </w:rPr>
              <w:t>Guidelines on hepatitis B and C testing (February 2017):</w:t>
            </w:r>
          </w:p>
          <w:p>
            <w:pPr>
              <w:pStyle w:val="TableParagraph"/>
              <w:ind w:left="126" w:right="107"/>
              <w:rPr>
                <w:sz w:val="18"/>
              </w:rPr>
            </w:pPr>
            <w:hyperlink r:id="rId81">
              <w:r>
                <w:rPr>
                  <w:color w:val="0462C1"/>
                  <w:sz w:val="18"/>
                  <w:u w:val="single" w:color="0462C1"/>
                </w:rPr>
                <w:t>http://apps.who.int/iris/bitstream/handle/10665/25</w:t>
              </w:r>
            </w:hyperlink>
            <w:r>
              <w:rPr>
                <w:color w:val="0462C1"/>
                <w:sz w:val="18"/>
              </w:rPr>
              <w:t> </w:t>
            </w:r>
            <w:hyperlink r:id="rId81">
              <w:r>
                <w:rPr>
                  <w:color w:val="0462C1"/>
                  <w:sz w:val="18"/>
                  <w:u w:val="single" w:color="0462C1"/>
                </w:rPr>
                <w:t>4621/9789241549981-eng.pdf?sequence=1</w:t>
              </w:r>
            </w:hyperlink>
          </w:p>
        </w:tc>
      </w:tr>
      <w:tr>
        <w:trPr>
          <w:trHeight w:val="1086" w:hRule="atLeast"/>
        </w:trPr>
        <w:tc>
          <w:tcPr>
            <w:tcW w:w="1152" w:type="dxa"/>
            <w:tcBorders>
              <w:left w:val="single" w:sz="12" w:space="0" w:color="000000"/>
              <w:bottom w:val="single" w:sz="4" w:space="0" w:color="000000"/>
            </w:tcBorders>
          </w:tcPr>
          <w:p>
            <w:pPr>
              <w:pStyle w:val="TableParagraph"/>
              <w:rPr>
                <w:rFonts w:ascii="Times New Roman"/>
                <w:sz w:val="18"/>
              </w:rPr>
            </w:pPr>
          </w:p>
        </w:tc>
        <w:tc>
          <w:tcPr>
            <w:tcW w:w="1540" w:type="dxa"/>
            <w:tcBorders>
              <w:bottom w:val="single" w:sz="4" w:space="0" w:color="000000"/>
            </w:tcBorders>
          </w:tcPr>
          <w:p>
            <w:pPr>
              <w:pStyle w:val="TableParagraph"/>
              <w:spacing w:line="237" w:lineRule="auto"/>
              <w:ind w:left="122" w:right="208"/>
              <w:rPr>
                <w:sz w:val="18"/>
              </w:rPr>
            </w:pPr>
            <w:r>
              <w:rPr>
                <w:sz w:val="18"/>
              </w:rPr>
              <w:t>Hepatitis B e antigen (HBeAg)</w:t>
            </w:r>
          </w:p>
        </w:tc>
        <w:tc>
          <w:tcPr>
            <w:tcW w:w="1701" w:type="dxa"/>
            <w:tcBorders>
              <w:bottom w:val="single" w:sz="4" w:space="0" w:color="000000"/>
            </w:tcBorders>
          </w:tcPr>
          <w:p>
            <w:pPr>
              <w:pStyle w:val="TableParagraph"/>
              <w:spacing w:line="237" w:lineRule="auto"/>
              <w:ind w:left="123" w:right="298"/>
              <w:rPr>
                <w:sz w:val="18"/>
              </w:rPr>
            </w:pPr>
            <w:r>
              <w:rPr>
                <w:sz w:val="18"/>
              </w:rPr>
              <w:t>Staging to assess the need for HBV</w:t>
            </w:r>
          </w:p>
          <w:p>
            <w:pPr>
              <w:pStyle w:val="TableParagraph"/>
              <w:ind w:left="123" w:right="634"/>
              <w:rPr>
                <w:sz w:val="18"/>
              </w:rPr>
            </w:pPr>
            <w:r>
              <w:rPr>
                <w:sz w:val="18"/>
              </w:rPr>
              <w:t>treatment in chronic HBV</w:t>
            </w:r>
          </w:p>
          <w:p>
            <w:pPr>
              <w:pStyle w:val="TableParagraph"/>
              <w:spacing w:line="199" w:lineRule="exact"/>
              <w:ind w:left="123"/>
              <w:rPr>
                <w:sz w:val="18"/>
              </w:rPr>
            </w:pPr>
            <w:r>
              <w:rPr>
                <w:sz w:val="18"/>
              </w:rPr>
              <w:t>infection</w:t>
            </w:r>
          </w:p>
        </w:tc>
        <w:tc>
          <w:tcPr>
            <w:tcW w:w="1276" w:type="dxa"/>
            <w:tcBorders>
              <w:bottom w:val="single" w:sz="4" w:space="0" w:color="000000"/>
            </w:tcBorders>
          </w:tcPr>
          <w:p>
            <w:pPr>
              <w:pStyle w:val="TableParagraph"/>
              <w:spacing w:line="209" w:lineRule="exact"/>
              <w:ind w:left="124"/>
              <w:rPr>
                <w:sz w:val="18"/>
              </w:rPr>
            </w:pPr>
            <w:r>
              <w:rPr>
                <w:sz w:val="18"/>
              </w:rPr>
              <w:t>RDT</w:t>
            </w:r>
          </w:p>
        </w:tc>
        <w:tc>
          <w:tcPr>
            <w:tcW w:w="2269" w:type="dxa"/>
            <w:tcBorders>
              <w:bottom w:val="single" w:sz="4" w:space="0" w:color="000000"/>
            </w:tcBorders>
          </w:tcPr>
          <w:p>
            <w:pPr>
              <w:pStyle w:val="TableParagraph"/>
              <w:spacing w:line="209" w:lineRule="exact"/>
              <w:ind w:left="125"/>
              <w:rPr>
                <w:sz w:val="18"/>
              </w:rPr>
            </w:pPr>
            <w:r>
              <w:rPr>
                <w:sz w:val="18"/>
              </w:rPr>
              <w:t>Capillary whole blood</w:t>
            </w:r>
          </w:p>
        </w:tc>
        <w:tc>
          <w:tcPr>
            <w:tcW w:w="1984" w:type="dxa"/>
            <w:tcBorders>
              <w:bottom w:val="single" w:sz="4" w:space="0" w:color="000000"/>
            </w:tcBorders>
          </w:tcPr>
          <w:p>
            <w:pPr>
              <w:pStyle w:val="TableParagraph"/>
              <w:spacing w:line="209" w:lineRule="exact"/>
              <w:ind w:left="127"/>
              <w:rPr>
                <w:sz w:val="18"/>
              </w:rPr>
            </w:pPr>
            <w:r>
              <w:rPr>
                <w:sz w:val="18"/>
              </w:rPr>
              <w:t>N/A</w:t>
            </w:r>
          </w:p>
        </w:tc>
        <w:tc>
          <w:tcPr>
            <w:tcW w:w="4109" w:type="dxa"/>
            <w:tcBorders>
              <w:bottom w:val="single" w:sz="4" w:space="0" w:color="000000"/>
              <w:right w:val="single" w:sz="12" w:space="0" w:color="000000"/>
            </w:tcBorders>
          </w:tcPr>
          <w:p>
            <w:pPr>
              <w:pStyle w:val="TableParagraph"/>
              <w:rPr>
                <w:rFonts w:ascii="Times New Roman"/>
                <w:sz w:val="18"/>
              </w:rPr>
            </w:pPr>
          </w:p>
        </w:tc>
      </w:tr>
      <w:tr>
        <w:trPr>
          <w:trHeight w:val="1099" w:hRule="atLeast"/>
        </w:trPr>
        <w:tc>
          <w:tcPr>
            <w:tcW w:w="1152" w:type="dxa"/>
            <w:tcBorders>
              <w:top w:val="single" w:sz="4" w:space="0" w:color="000000"/>
              <w:left w:val="single" w:sz="12" w:space="0" w:color="000000"/>
              <w:bottom w:val="single" w:sz="4" w:space="0" w:color="000000"/>
            </w:tcBorders>
          </w:tcPr>
          <w:p>
            <w:pPr>
              <w:pStyle w:val="TableParagraph"/>
              <w:spacing w:line="219" w:lineRule="exact"/>
              <w:ind w:left="107"/>
              <w:rPr>
                <w:sz w:val="18"/>
              </w:rPr>
            </w:pPr>
            <w:r>
              <w:rPr>
                <w:sz w:val="18"/>
              </w:rPr>
              <w:t>Hepatitis C</w:t>
            </w:r>
          </w:p>
        </w:tc>
        <w:tc>
          <w:tcPr>
            <w:tcW w:w="1540" w:type="dxa"/>
            <w:tcBorders>
              <w:top w:val="single" w:sz="4" w:space="0" w:color="000000"/>
              <w:bottom w:val="single" w:sz="4" w:space="0" w:color="000000"/>
            </w:tcBorders>
          </w:tcPr>
          <w:p>
            <w:pPr>
              <w:pStyle w:val="TableParagraph"/>
              <w:ind w:left="122" w:right="271"/>
              <w:rPr>
                <w:sz w:val="18"/>
              </w:rPr>
            </w:pPr>
            <w:r>
              <w:rPr>
                <w:sz w:val="18"/>
              </w:rPr>
              <w:t>Antibodies to HCV</w:t>
            </w:r>
          </w:p>
          <w:p>
            <w:pPr>
              <w:pStyle w:val="TableParagraph"/>
              <w:spacing w:before="1"/>
              <w:ind w:left="122"/>
              <w:rPr>
                <w:sz w:val="18"/>
              </w:rPr>
            </w:pPr>
            <w:r>
              <w:rPr>
                <w:sz w:val="18"/>
              </w:rPr>
              <w:t>(anti-HCV)</w:t>
            </w:r>
          </w:p>
        </w:tc>
        <w:tc>
          <w:tcPr>
            <w:tcW w:w="1701" w:type="dxa"/>
            <w:tcBorders>
              <w:top w:val="single" w:sz="4" w:space="0" w:color="000000"/>
              <w:bottom w:val="single" w:sz="4" w:space="0" w:color="000000"/>
            </w:tcBorders>
          </w:tcPr>
          <w:p>
            <w:pPr>
              <w:pStyle w:val="TableParagraph"/>
              <w:ind w:left="123" w:right="141"/>
              <w:rPr>
                <w:sz w:val="18"/>
              </w:rPr>
            </w:pPr>
            <w:r>
              <w:rPr>
                <w:sz w:val="18"/>
              </w:rPr>
              <w:t>Screening for HCV infection: infants over 18 months</w:t>
            </w:r>
            <w:r>
              <w:rPr>
                <w:spacing w:val="-5"/>
                <w:sz w:val="18"/>
              </w:rPr>
              <w:t> </w:t>
            </w:r>
            <w:r>
              <w:rPr>
                <w:spacing w:val="-10"/>
                <w:sz w:val="18"/>
              </w:rPr>
              <w:t>of</w:t>
            </w:r>
          </w:p>
          <w:p>
            <w:pPr>
              <w:pStyle w:val="TableParagraph"/>
              <w:spacing w:line="220" w:lineRule="atLeast"/>
              <w:ind w:left="123" w:right="165"/>
              <w:rPr>
                <w:sz w:val="18"/>
              </w:rPr>
            </w:pPr>
            <w:r>
              <w:rPr>
                <w:sz w:val="18"/>
              </w:rPr>
              <w:t>age, children, adolescents,</w:t>
            </w:r>
            <w:r>
              <w:rPr>
                <w:spacing w:val="-8"/>
                <w:sz w:val="18"/>
              </w:rPr>
              <w:t> </w:t>
            </w:r>
            <w:r>
              <w:rPr>
                <w:sz w:val="18"/>
              </w:rPr>
              <w:t>adults</w:t>
            </w:r>
          </w:p>
        </w:tc>
        <w:tc>
          <w:tcPr>
            <w:tcW w:w="1276" w:type="dxa"/>
            <w:tcBorders>
              <w:top w:val="single" w:sz="4" w:space="0" w:color="000000"/>
              <w:bottom w:val="single" w:sz="4" w:space="0" w:color="000000"/>
            </w:tcBorders>
          </w:tcPr>
          <w:p>
            <w:pPr>
              <w:pStyle w:val="TableParagraph"/>
              <w:spacing w:line="219" w:lineRule="exact"/>
              <w:ind w:left="124"/>
              <w:rPr>
                <w:sz w:val="18"/>
              </w:rPr>
            </w:pPr>
            <w:r>
              <w:rPr>
                <w:sz w:val="18"/>
              </w:rPr>
              <w:t>RDT</w:t>
            </w:r>
          </w:p>
        </w:tc>
        <w:tc>
          <w:tcPr>
            <w:tcW w:w="2269" w:type="dxa"/>
            <w:tcBorders>
              <w:top w:val="single" w:sz="4" w:space="0" w:color="000000"/>
              <w:bottom w:val="single" w:sz="4" w:space="0" w:color="000000"/>
            </w:tcBorders>
          </w:tcPr>
          <w:p>
            <w:pPr>
              <w:pStyle w:val="TableParagraph"/>
              <w:spacing w:line="219" w:lineRule="exact"/>
              <w:ind w:left="125"/>
              <w:rPr>
                <w:sz w:val="18"/>
              </w:rPr>
            </w:pPr>
            <w:r>
              <w:rPr>
                <w:sz w:val="18"/>
              </w:rPr>
              <w:t>Oral fluid</w:t>
            </w:r>
          </w:p>
          <w:p>
            <w:pPr>
              <w:pStyle w:val="TableParagraph"/>
              <w:spacing w:before="1"/>
              <w:ind w:left="125"/>
              <w:rPr>
                <w:sz w:val="18"/>
              </w:rPr>
            </w:pPr>
            <w:r>
              <w:rPr>
                <w:sz w:val="18"/>
              </w:rPr>
              <w:t>Capillary whole blood</w:t>
            </w:r>
          </w:p>
        </w:tc>
        <w:tc>
          <w:tcPr>
            <w:tcW w:w="1984" w:type="dxa"/>
            <w:tcBorders>
              <w:top w:val="single" w:sz="4" w:space="0" w:color="000000"/>
              <w:bottom w:val="single" w:sz="4" w:space="0" w:color="000000"/>
            </w:tcBorders>
          </w:tcPr>
          <w:p>
            <w:pPr>
              <w:pStyle w:val="TableParagraph"/>
              <w:ind w:left="127" w:right="94"/>
              <w:jc w:val="both"/>
              <w:rPr>
                <w:sz w:val="18"/>
              </w:rPr>
            </w:pPr>
            <w:hyperlink r:id="rId82">
              <w:r>
                <w:rPr>
                  <w:color w:val="0462C1"/>
                  <w:sz w:val="18"/>
                  <w:u w:val="single" w:color="0462C1"/>
                </w:rPr>
                <w:t>http://www.who.int/di</w:t>
              </w:r>
            </w:hyperlink>
            <w:r>
              <w:rPr>
                <w:color w:val="0462C1"/>
                <w:sz w:val="18"/>
              </w:rPr>
              <w:t> </w:t>
            </w:r>
            <w:hyperlink r:id="rId82">
              <w:r>
                <w:rPr>
                  <w:color w:val="0462C1"/>
                  <w:sz w:val="18"/>
                  <w:u w:val="single" w:color="0462C1"/>
                </w:rPr>
                <w:t>agnostics_laboratory/e</w:t>
              </w:r>
            </w:hyperlink>
            <w:r>
              <w:rPr>
                <w:color w:val="0462C1"/>
                <w:sz w:val="18"/>
              </w:rPr>
              <w:t> </w:t>
            </w:r>
            <w:hyperlink r:id="rId82">
              <w:r>
                <w:rPr>
                  <w:color w:val="0462C1"/>
                  <w:sz w:val="18"/>
                  <w:u w:val="single" w:color="0462C1"/>
                </w:rPr>
                <w:t>valuations/pq-</w:t>
              </w:r>
            </w:hyperlink>
          </w:p>
          <w:p>
            <w:pPr>
              <w:pStyle w:val="TableParagraph"/>
              <w:spacing w:line="220" w:lineRule="atLeast"/>
              <w:ind w:left="127" w:right="94"/>
              <w:jc w:val="both"/>
              <w:rPr>
                <w:sz w:val="18"/>
              </w:rPr>
            </w:pPr>
            <w:hyperlink r:id="rId82">
              <w:r>
                <w:rPr>
                  <w:color w:val="0462C1"/>
                  <w:sz w:val="18"/>
                  <w:u w:val="single" w:color="0462C1"/>
                </w:rPr>
                <w:t>list/hcv/public_report/e</w:t>
              </w:r>
            </w:hyperlink>
            <w:r>
              <w:rPr>
                <w:color w:val="0462C1"/>
                <w:sz w:val="18"/>
              </w:rPr>
              <w:t> </w:t>
            </w:r>
            <w:hyperlink r:id="rId82">
              <w:r>
                <w:rPr>
                  <w:color w:val="0462C1"/>
                  <w:sz w:val="18"/>
                  <w:u w:val="single" w:color="0462C1"/>
                </w:rPr>
                <w:t>n/</w:t>
              </w:r>
            </w:hyperlink>
          </w:p>
        </w:tc>
        <w:tc>
          <w:tcPr>
            <w:tcW w:w="4109" w:type="dxa"/>
            <w:tcBorders>
              <w:top w:val="single" w:sz="4" w:space="0" w:color="000000"/>
              <w:bottom w:val="single" w:sz="4" w:space="0" w:color="000000"/>
              <w:right w:val="single" w:sz="12" w:space="0" w:color="000000"/>
            </w:tcBorders>
          </w:tcPr>
          <w:p>
            <w:pPr>
              <w:pStyle w:val="TableParagraph"/>
              <w:ind w:left="126"/>
              <w:rPr>
                <w:sz w:val="18"/>
              </w:rPr>
            </w:pPr>
            <w:r>
              <w:rPr>
                <w:sz w:val="18"/>
              </w:rPr>
              <w:t>Guidelines on hepatitis B and C testing (February 2017):</w:t>
            </w:r>
          </w:p>
          <w:p>
            <w:pPr>
              <w:pStyle w:val="TableParagraph"/>
              <w:spacing w:before="1"/>
              <w:ind w:left="126" w:right="107"/>
              <w:rPr>
                <w:sz w:val="18"/>
              </w:rPr>
            </w:pPr>
            <w:hyperlink r:id="rId81">
              <w:r>
                <w:rPr>
                  <w:color w:val="0462C1"/>
                  <w:sz w:val="18"/>
                  <w:u w:val="single" w:color="0462C1"/>
                </w:rPr>
                <w:t>http://apps.who.int/iris/bitstream/handle/10665/25</w:t>
              </w:r>
            </w:hyperlink>
            <w:r>
              <w:rPr>
                <w:color w:val="0462C1"/>
                <w:sz w:val="18"/>
              </w:rPr>
              <w:t> </w:t>
            </w:r>
            <w:hyperlink r:id="rId81">
              <w:r>
                <w:rPr>
                  <w:color w:val="0462C1"/>
                  <w:sz w:val="18"/>
                  <w:u w:val="single" w:color="0462C1"/>
                </w:rPr>
                <w:t>4621/9789241549981-eng.pdf?sequence=1</w:t>
              </w:r>
            </w:hyperlink>
          </w:p>
        </w:tc>
      </w:tr>
      <w:tr>
        <w:trPr>
          <w:trHeight w:val="1196" w:hRule="atLeast"/>
        </w:trPr>
        <w:tc>
          <w:tcPr>
            <w:tcW w:w="1152" w:type="dxa"/>
            <w:tcBorders>
              <w:top w:val="single" w:sz="4" w:space="0" w:color="000000"/>
              <w:left w:val="single" w:sz="12" w:space="0" w:color="000000"/>
            </w:tcBorders>
          </w:tcPr>
          <w:p>
            <w:pPr>
              <w:pStyle w:val="TableParagraph"/>
              <w:spacing w:line="219" w:lineRule="exact"/>
              <w:ind w:left="107"/>
              <w:rPr>
                <w:sz w:val="18"/>
              </w:rPr>
            </w:pPr>
            <w:r>
              <w:rPr>
                <w:sz w:val="18"/>
              </w:rPr>
              <w:t>HIV</w:t>
            </w:r>
          </w:p>
        </w:tc>
        <w:tc>
          <w:tcPr>
            <w:tcW w:w="1540" w:type="dxa"/>
            <w:tcBorders>
              <w:top w:val="single" w:sz="4" w:space="0" w:color="000000"/>
            </w:tcBorders>
          </w:tcPr>
          <w:p>
            <w:pPr>
              <w:pStyle w:val="TableParagraph"/>
              <w:ind w:left="122" w:right="77"/>
              <w:rPr>
                <w:sz w:val="18"/>
              </w:rPr>
            </w:pPr>
            <w:r>
              <w:rPr>
                <w:sz w:val="18"/>
              </w:rPr>
              <w:t>Antibodies to HIV 1/2 (anti-HIV) test</w:t>
            </w:r>
          </w:p>
        </w:tc>
        <w:tc>
          <w:tcPr>
            <w:tcW w:w="1701" w:type="dxa"/>
            <w:tcBorders>
              <w:top w:val="single" w:sz="4" w:space="0" w:color="000000"/>
            </w:tcBorders>
          </w:tcPr>
          <w:p>
            <w:pPr>
              <w:pStyle w:val="TableParagraph"/>
              <w:spacing w:line="219" w:lineRule="exact"/>
              <w:ind w:left="123"/>
              <w:rPr>
                <w:sz w:val="18"/>
              </w:rPr>
            </w:pPr>
            <w:r>
              <w:rPr>
                <w:sz w:val="18"/>
              </w:rPr>
              <w:t>HIV self-testing</w:t>
            </w:r>
          </w:p>
        </w:tc>
        <w:tc>
          <w:tcPr>
            <w:tcW w:w="1276" w:type="dxa"/>
            <w:tcBorders>
              <w:top w:val="single" w:sz="4" w:space="0" w:color="000000"/>
            </w:tcBorders>
          </w:tcPr>
          <w:p>
            <w:pPr>
              <w:pStyle w:val="TableParagraph"/>
              <w:spacing w:line="219" w:lineRule="exact"/>
              <w:ind w:left="124"/>
              <w:rPr>
                <w:sz w:val="18"/>
              </w:rPr>
            </w:pPr>
            <w:r>
              <w:rPr>
                <w:sz w:val="18"/>
              </w:rPr>
              <w:t>RDT</w:t>
            </w:r>
          </w:p>
        </w:tc>
        <w:tc>
          <w:tcPr>
            <w:tcW w:w="2269" w:type="dxa"/>
            <w:tcBorders>
              <w:top w:val="single" w:sz="4" w:space="0" w:color="000000"/>
            </w:tcBorders>
          </w:tcPr>
          <w:p>
            <w:pPr>
              <w:pStyle w:val="TableParagraph"/>
              <w:spacing w:line="219" w:lineRule="exact"/>
              <w:ind w:left="125"/>
              <w:rPr>
                <w:sz w:val="18"/>
              </w:rPr>
            </w:pPr>
            <w:r>
              <w:rPr>
                <w:sz w:val="18"/>
              </w:rPr>
              <w:t>Oral fluid</w:t>
            </w:r>
          </w:p>
          <w:p>
            <w:pPr>
              <w:pStyle w:val="TableParagraph"/>
              <w:spacing w:before="1"/>
              <w:ind w:left="125"/>
              <w:rPr>
                <w:sz w:val="18"/>
              </w:rPr>
            </w:pPr>
            <w:r>
              <w:rPr>
                <w:sz w:val="18"/>
              </w:rPr>
              <w:t>Capillary whole blood</w:t>
            </w:r>
          </w:p>
        </w:tc>
        <w:tc>
          <w:tcPr>
            <w:tcW w:w="1984" w:type="dxa"/>
            <w:tcBorders>
              <w:top w:val="single" w:sz="4" w:space="0" w:color="000000"/>
            </w:tcBorders>
          </w:tcPr>
          <w:p>
            <w:pPr>
              <w:pStyle w:val="TableParagraph"/>
              <w:ind w:left="127" w:right="162"/>
              <w:rPr>
                <w:sz w:val="18"/>
              </w:rPr>
            </w:pPr>
            <w:hyperlink r:id="rId83">
              <w:r>
                <w:rPr>
                  <w:color w:val="0462C1"/>
                  <w:sz w:val="18"/>
                  <w:u w:val="single" w:color="0462C1"/>
                </w:rPr>
                <w:t>http://www.who.int/di</w:t>
              </w:r>
            </w:hyperlink>
            <w:r>
              <w:rPr>
                <w:color w:val="0462C1"/>
                <w:sz w:val="18"/>
              </w:rPr>
              <w:t> </w:t>
            </w:r>
            <w:hyperlink r:id="rId83">
              <w:r>
                <w:rPr>
                  <w:color w:val="0462C1"/>
                  <w:sz w:val="18"/>
                  <w:u w:val="single" w:color="0462C1"/>
                </w:rPr>
                <w:t>agnostics_laboratory/e</w:t>
              </w:r>
            </w:hyperlink>
            <w:r>
              <w:rPr>
                <w:color w:val="0462C1"/>
                <w:sz w:val="18"/>
              </w:rPr>
              <w:t> </w:t>
            </w:r>
            <w:hyperlink r:id="rId83">
              <w:r>
                <w:rPr>
                  <w:color w:val="0462C1"/>
                  <w:sz w:val="18"/>
                  <w:u w:val="single" w:color="0462C1"/>
                </w:rPr>
                <w:t>valuations/pq-list/self-</w:t>
              </w:r>
            </w:hyperlink>
            <w:r>
              <w:rPr>
                <w:color w:val="0462C1"/>
                <w:sz w:val="18"/>
              </w:rPr>
              <w:t> </w:t>
            </w:r>
            <w:hyperlink r:id="rId83">
              <w:r>
                <w:rPr>
                  <w:color w:val="0462C1"/>
                  <w:sz w:val="18"/>
                  <w:u w:val="single" w:color="0462C1"/>
                </w:rPr>
                <w:t>testing_public-</w:t>
              </w:r>
            </w:hyperlink>
            <w:r>
              <w:rPr>
                <w:color w:val="0462C1"/>
                <w:sz w:val="18"/>
              </w:rPr>
              <w:t> </w:t>
            </w:r>
            <w:hyperlink r:id="rId83">
              <w:r>
                <w:rPr>
                  <w:color w:val="0462C1"/>
                  <w:sz w:val="18"/>
                  <w:u w:val="single" w:color="0462C1"/>
                </w:rPr>
                <w:t>report/en/</w:t>
              </w:r>
            </w:hyperlink>
          </w:p>
        </w:tc>
        <w:tc>
          <w:tcPr>
            <w:tcW w:w="4109" w:type="dxa"/>
            <w:vMerge w:val="restart"/>
            <w:tcBorders>
              <w:top w:val="single" w:sz="4" w:space="0" w:color="000000"/>
              <w:bottom w:val="single" w:sz="4" w:space="0" w:color="000000"/>
              <w:right w:val="single" w:sz="12" w:space="0" w:color="000000"/>
            </w:tcBorders>
          </w:tcPr>
          <w:p>
            <w:pPr>
              <w:pStyle w:val="TableParagraph"/>
              <w:ind w:left="126" w:right="107"/>
              <w:rPr>
                <w:sz w:val="18"/>
              </w:rPr>
            </w:pPr>
            <w:r>
              <w:rPr>
                <w:sz w:val="18"/>
              </w:rPr>
              <w:t>Guidelines on HIV self-testing and partner notification (2016) </w:t>
            </w:r>
            <w:hyperlink r:id="rId84">
              <w:r>
                <w:rPr>
                  <w:color w:val="0462C1"/>
                  <w:sz w:val="18"/>
                  <w:u w:val="single" w:color="0462C1"/>
                </w:rPr>
                <w:t>http://apps.who.int/iris/bitstream/handle/10665/25</w:t>
              </w:r>
            </w:hyperlink>
            <w:r>
              <w:rPr>
                <w:color w:val="0462C1"/>
                <w:sz w:val="18"/>
              </w:rPr>
              <w:t> </w:t>
            </w:r>
            <w:r>
              <w:rPr>
                <w:color w:val="0462C1"/>
                <w:sz w:val="18"/>
                <w:u w:val="single" w:color="0462C1"/>
              </w:rPr>
              <w:t>1655/9789241549868-eng.pdf?sequence=1</w:t>
            </w:r>
            <w:r>
              <w:rPr>
                <w:color w:val="0462C1"/>
                <w:sz w:val="18"/>
              </w:rPr>
              <w:t> </w:t>
            </w:r>
            <w:r>
              <w:rPr>
                <w:sz w:val="18"/>
              </w:rPr>
              <w:t>Consolidated guidelines on HIV testing services (July 2015) </w:t>
            </w:r>
            <w:hyperlink r:id="rId85">
              <w:r>
                <w:rPr>
                  <w:color w:val="0462C1"/>
                  <w:sz w:val="18"/>
                  <w:u w:val="single" w:color="0462C1"/>
                </w:rPr>
                <w:t>http://www.who.int/hiv/pub/guidelines/hiv-</w:t>
              </w:r>
            </w:hyperlink>
            <w:r>
              <w:rPr>
                <w:color w:val="0462C1"/>
                <w:sz w:val="18"/>
              </w:rPr>
              <w:t> </w:t>
            </w:r>
            <w:r>
              <w:rPr>
                <w:color w:val="0462C1"/>
                <w:sz w:val="18"/>
                <w:u w:val="single" w:color="0462C1"/>
              </w:rPr>
              <w:t>testing-services/en/</w:t>
            </w:r>
          </w:p>
          <w:p>
            <w:pPr>
              <w:pStyle w:val="TableParagraph"/>
              <w:ind w:left="126" w:right="340"/>
              <w:rPr>
                <w:rFonts w:ascii="Palatino Linotype"/>
                <w:i/>
                <w:sz w:val="24"/>
              </w:rPr>
            </w:pPr>
            <w:r>
              <w:rPr>
                <w:sz w:val="18"/>
              </w:rPr>
              <w:t>WHO implementation tool for pre-exposure prophylaxis (PrEP) of HIV infection, module 10 for testing providers (2017) </w:t>
            </w:r>
            <w:hyperlink r:id="rId86">
              <w:r>
                <w:rPr>
                  <w:color w:val="0462C1"/>
                  <w:sz w:val="18"/>
                  <w:u w:val="single" w:color="0462C1"/>
                </w:rPr>
                <w:t>http://www.who.int/hiv/pub/prep/prep-</w:t>
              </w:r>
            </w:hyperlink>
            <w:r>
              <w:rPr>
                <w:color w:val="0462C1"/>
                <w:sz w:val="18"/>
              </w:rPr>
              <w:t> </w:t>
            </w:r>
            <w:r>
              <w:rPr>
                <w:color w:val="0462C1"/>
                <w:sz w:val="18"/>
                <w:u w:val="single" w:color="0462C1"/>
              </w:rPr>
              <w:t>implementation-tool/en</w:t>
            </w:r>
            <w:r>
              <w:rPr>
                <w:rFonts w:ascii="Palatino Linotype"/>
                <w:i/>
                <w:color w:val="0462C1"/>
                <w:sz w:val="24"/>
                <w:u w:val="single" w:color="0462C1"/>
              </w:rPr>
              <w:t>/</w:t>
            </w:r>
          </w:p>
        </w:tc>
      </w:tr>
      <w:tr>
        <w:trPr>
          <w:trHeight w:val="2016" w:hRule="atLeast"/>
        </w:trPr>
        <w:tc>
          <w:tcPr>
            <w:tcW w:w="1152" w:type="dxa"/>
            <w:tcBorders>
              <w:left w:val="single" w:sz="12" w:space="0" w:color="000000"/>
              <w:bottom w:val="single" w:sz="4" w:space="0" w:color="000000"/>
            </w:tcBorders>
          </w:tcPr>
          <w:p>
            <w:pPr>
              <w:pStyle w:val="TableParagraph"/>
              <w:rPr>
                <w:rFonts w:ascii="Times New Roman"/>
                <w:sz w:val="18"/>
              </w:rPr>
            </w:pPr>
          </w:p>
        </w:tc>
        <w:tc>
          <w:tcPr>
            <w:tcW w:w="1540" w:type="dxa"/>
            <w:tcBorders>
              <w:bottom w:val="single" w:sz="4" w:space="0" w:color="000000"/>
            </w:tcBorders>
          </w:tcPr>
          <w:p>
            <w:pPr>
              <w:pStyle w:val="TableParagraph"/>
              <w:rPr>
                <w:rFonts w:ascii="Times New Roman"/>
                <w:sz w:val="18"/>
              </w:rPr>
            </w:pPr>
          </w:p>
        </w:tc>
        <w:tc>
          <w:tcPr>
            <w:tcW w:w="1701" w:type="dxa"/>
            <w:tcBorders>
              <w:bottom w:val="single" w:sz="4" w:space="0" w:color="000000"/>
            </w:tcBorders>
          </w:tcPr>
          <w:p>
            <w:pPr>
              <w:pStyle w:val="TableParagraph"/>
              <w:tabs>
                <w:tab w:pos="7279" w:val="left" w:leader="none"/>
              </w:tabs>
              <w:spacing w:line="88" w:lineRule="exact"/>
              <w:ind w:left="20" w:right="-5588"/>
              <w:rPr>
                <w:sz w:val="18"/>
              </w:rPr>
            </w:pPr>
            <w:r>
              <w:rPr>
                <w:sz w:val="18"/>
                <w:u w:val="single"/>
              </w:rPr>
              <w:t> </w:t>
              <w:tab/>
            </w:r>
          </w:p>
          <w:p>
            <w:pPr>
              <w:pStyle w:val="TableParagraph"/>
              <w:spacing w:line="197" w:lineRule="exact"/>
              <w:ind w:left="123"/>
              <w:rPr>
                <w:sz w:val="18"/>
              </w:rPr>
            </w:pPr>
            <w:r>
              <w:rPr>
                <w:sz w:val="18"/>
              </w:rPr>
              <w:t>For the diagnosis of</w:t>
            </w:r>
          </w:p>
          <w:p>
            <w:pPr>
              <w:pStyle w:val="TableParagraph"/>
              <w:spacing w:before="1"/>
              <w:ind w:left="123" w:right="104"/>
              <w:rPr>
                <w:sz w:val="18"/>
              </w:rPr>
            </w:pPr>
            <w:r>
              <w:rPr>
                <w:sz w:val="18"/>
              </w:rPr>
              <w:t>HIV infection: adults, adolescents, children and infants over 18 months of age</w:t>
            </w:r>
          </w:p>
        </w:tc>
        <w:tc>
          <w:tcPr>
            <w:tcW w:w="1276" w:type="dxa"/>
            <w:tcBorders>
              <w:bottom w:val="single" w:sz="4" w:space="0" w:color="000000"/>
            </w:tcBorders>
          </w:tcPr>
          <w:p>
            <w:pPr>
              <w:pStyle w:val="TableParagraph"/>
              <w:spacing w:before="64"/>
              <w:ind w:left="124"/>
              <w:rPr>
                <w:sz w:val="18"/>
              </w:rPr>
            </w:pPr>
            <w:r>
              <w:rPr>
                <w:sz w:val="18"/>
              </w:rPr>
              <w:t>RDT</w:t>
            </w:r>
          </w:p>
        </w:tc>
        <w:tc>
          <w:tcPr>
            <w:tcW w:w="2269" w:type="dxa"/>
            <w:tcBorders>
              <w:bottom w:val="single" w:sz="4" w:space="0" w:color="000000"/>
            </w:tcBorders>
          </w:tcPr>
          <w:p>
            <w:pPr>
              <w:pStyle w:val="TableParagraph"/>
              <w:spacing w:before="64"/>
              <w:ind w:left="125"/>
              <w:rPr>
                <w:sz w:val="18"/>
              </w:rPr>
            </w:pPr>
            <w:r>
              <w:rPr>
                <w:sz w:val="18"/>
              </w:rPr>
              <w:t>Oral fluid</w:t>
            </w:r>
          </w:p>
          <w:p>
            <w:pPr>
              <w:pStyle w:val="TableParagraph"/>
              <w:spacing w:before="1"/>
              <w:ind w:left="125"/>
              <w:rPr>
                <w:sz w:val="18"/>
              </w:rPr>
            </w:pPr>
            <w:r>
              <w:rPr>
                <w:sz w:val="18"/>
              </w:rPr>
              <w:t>Capillary whole blood</w:t>
            </w:r>
          </w:p>
        </w:tc>
        <w:tc>
          <w:tcPr>
            <w:tcW w:w="1984" w:type="dxa"/>
            <w:tcBorders>
              <w:bottom w:val="single" w:sz="4" w:space="0" w:color="000000"/>
            </w:tcBorders>
          </w:tcPr>
          <w:p>
            <w:pPr>
              <w:pStyle w:val="TableParagraph"/>
              <w:rPr>
                <w:rFonts w:ascii="Times New Roman"/>
                <w:sz w:val="18"/>
              </w:rPr>
            </w:pPr>
          </w:p>
        </w:tc>
        <w:tc>
          <w:tcPr>
            <w:tcW w:w="4109" w:type="dxa"/>
            <w:vMerge/>
            <w:tcBorders>
              <w:top w:val="nil"/>
              <w:bottom w:val="single" w:sz="4" w:space="0" w:color="000000"/>
              <w:right w:val="single" w:sz="12" w:space="0" w:color="000000"/>
            </w:tcBorders>
          </w:tcPr>
          <w:p>
            <w:pPr>
              <w:rPr>
                <w:sz w:val="2"/>
                <w:szCs w:val="2"/>
              </w:rPr>
            </w:pPr>
          </w:p>
        </w:tc>
      </w:tr>
    </w:tbl>
    <w:p>
      <w:pPr>
        <w:spacing w:after="0"/>
        <w:rPr>
          <w:sz w:val="2"/>
          <w:szCs w:val="2"/>
        </w:rPr>
        <w:sectPr>
          <w:headerReference w:type="default" r:id="rId64"/>
          <w:footerReference w:type="default" r:id="rId65"/>
          <w:pgSz w:w="16840" w:h="11910" w:orient="landscape"/>
          <w:pgMar w:header="0" w:footer="495" w:top="1100" w:bottom="680" w:left="1180" w:right="920"/>
          <w:pgNumType w:start="12"/>
        </w:sectPr>
      </w:pPr>
    </w:p>
    <w:p>
      <w:pPr>
        <w:pStyle w:val="BodyText"/>
        <w:rPr>
          <w:rFonts w:ascii="Times New Roman"/>
          <w:sz w:val="29"/>
        </w:rPr>
      </w:pPr>
      <w:r>
        <w:rPr/>
        <w:pict>
          <v:group style="position:absolute;margin-left:293.209991pt;margin-top:99.62001pt;width:162.9pt;height:387.7pt;mso-position-horizontal-relative:page;mso-position-vertical-relative:page;z-index:-124264" coordorigin="5864,1992" coordsize="3258,7754">
            <v:shape style="position:absolute;left:5873;top:1992;width:3236;height:471" coordorigin="5874,1992" coordsize="3236,471" path="m6966,1992l6863,1992,5977,1992,5874,1992,5874,2463,6966,2463,6966,1992m9109,1992l9006,1992,7079,1992,6975,1992,6975,2463,9109,2463,9109,1992e" filled="true" fillcolor="#e7e6e6" stroked="false">
              <v:path arrowok="t"/>
              <v:fill type="solid"/>
            </v:shape>
            <v:shape style="position:absolute;left:6965;top:1992;width:10;height:471" type="#_x0000_t75" stroked="false">
              <v:imagedata r:id="rId89" o:title=""/>
            </v:shape>
            <v:shape style="position:absolute;left:9111;top:1992;width:10;height:471" type="#_x0000_t75" stroked="false">
              <v:imagedata r:id="rId89" o:title=""/>
            </v:shape>
            <v:shape style="position:absolute;left:6965;top:2462;width:10;height:10" type="#_x0000_t75" stroked="false">
              <v:imagedata r:id="rId61" o:title=""/>
            </v:shape>
            <v:shape style="position:absolute;left:6965;top:2472;width:10;height:1100" type="#_x0000_t75" stroked="false">
              <v:imagedata r:id="rId90" o:title=""/>
            </v:shape>
            <v:shape style="position:absolute;left:9111;top:2462;width:10;height:1110" type="#_x0000_t75" stroked="false">
              <v:imagedata r:id="rId91" o:title=""/>
            </v:shape>
            <v:shape style="position:absolute;left:6965;top:3572;width:10;height:10" type="#_x0000_t75" stroked="false">
              <v:imagedata r:id="rId61" o:title=""/>
            </v:shape>
            <v:shape style="position:absolute;left:5864;top:1992;width:3258;height:7754" type="#_x0000_t75" stroked="false">
              <v:imagedata r:id="rId92" o:title=""/>
            </v:shape>
            <v:shape style="position:absolute;left:6965;top:6887;width:10;height:2860" type="#_x0000_t75" stroked="false">
              <v:imagedata r:id="rId93" o:title=""/>
            </v:shape>
            <v:shape style="position:absolute;left:9111;top:6887;width:10;height:2860" type="#_x0000_t75" stroked="false">
              <v:imagedata r:id="rId93" o:title=""/>
            </v:shape>
            <w10:wrap type="none"/>
          </v:group>
        </w:pict>
      </w:r>
      <w:r>
        <w:rPr/>
        <w:pict>
          <v:group style="position:absolute;margin-left:114.379997pt;margin-top:99.62001pt;width:.5pt;height:387.7pt;mso-position-horizontal-relative:page;mso-position-vertical-relative:page;z-index:-124240" coordorigin="2288,1992" coordsize="10,7754">
            <v:shape style="position:absolute;left:2287;top:1992;width:10;height:471" type="#_x0000_t75" stroked="false">
              <v:imagedata r:id="rId89" o:title=""/>
            </v:shape>
            <v:shape style="position:absolute;left:2287;top:2462;width:10;height:10" type="#_x0000_t75" stroked="false">
              <v:imagedata r:id="rId61" o:title=""/>
            </v:shape>
            <v:shape style="position:absolute;left:2287;top:2472;width:10;height:1100" type="#_x0000_t75" stroked="false">
              <v:imagedata r:id="rId90" o:title=""/>
            </v:shape>
            <v:shape style="position:absolute;left:2287;top:3572;width:10;height:10" type="#_x0000_t75" stroked="false">
              <v:imagedata r:id="rId61" o:title=""/>
            </v:shape>
            <v:shape style="position:absolute;left:2287;top:3581;width:10;height:3306" type="#_x0000_t75" stroked="false">
              <v:imagedata r:id="rId94" o:title=""/>
            </v:shape>
            <v:shape style="position:absolute;left:2287;top:6887;width:10;height:2860" type="#_x0000_t75" stroked="false">
              <v:imagedata r:id="rId93" o:title=""/>
            </v:shape>
            <w10:wrap type="none"/>
          </v:group>
        </w:pict>
      </w:r>
      <w:r>
        <w:rPr/>
        <w:pict>
          <v:group style="position:absolute;margin-left:199.339996pt;margin-top:99.62001pt;width:.5pt;height:387.7pt;mso-position-horizontal-relative:page;mso-position-vertical-relative:page;z-index:-124216" coordorigin="3987,1992" coordsize="10,7754">
            <v:shape style="position:absolute;left:3986;top:1992;width:10;height:471" type="#_x0000_t75" stroked="false">
              <v:imagedata r:id="rId89" o:title=""/>
            </v:shape>
            <v:shape style="position:absolute;left:3986;top:2462;width:10;height:10" type="#_x0000_t75" stroked="false">
              <v:imagedata r:id="rId61" o:title=""/>
            </v:shape>
            <v:shape style="position:absolute;left:3986;top:2472;width:10;height:1100" type="#_x0000_t75" stroked="false">
              <v:imagedata r:id="rId90" o:title=""/>
            </v:shape>
            <v:shape style="position:absolute;left:3986;top:3572;width:10;height:10" type="#_x0000_t75" stroked="false">
              <v:imagedata r:id="rId61" o:title=""/>
            </v:shape>
            <v:shape style="position:absolute;left:3986;top:3581;width:10;height:3306" type="#_x0000_t75" stroked="false">
              <v:imagedata r:id="rId95" o:title=""/>
            </v:shape>
            <v:shape style="position:absolute;left:3986;top:6887;width:10;height:2860" type="#_x0000_t75" stroked="false">
              <v:imagedata r:id="rId93" o:title=""/>
            </v:shape>
            <w10:wrap type="none"/>
          </v:group>
        </w:pict>
      </w:r>
      <w:r>
        <w:rPr/>
        <w:pict>
          <v:group style="position:absolute;margin-left:554.710022pt;margin-top:99.62001pt;width:.5pt;height:387.7pt;mso-position-horizontal-relative:page;mso-position-vertical-relative:page;z-index:-124192" coordorigin="11094,1992" coordsize="10,7754">
            <v:shape style="position:absolute;left:11094;top:1992;width:10;height:471" type="#_x0000_t75" stroked="false">
              <v:imagedata r:id="rId89" o:title=""/>
            </v:shape>
            <v:shape style="position:absolute;left:11094;top:2462;width:10;height:10" type="#_x0000_t75" stroked="false">
              <v:imagedata r:id="rId61" o:title=""/>
            </v:shape>
            <v:shape style="position:absolute;left:11094;top:2472;width:10;height:1100" type="#_x0000_t75" stroked="false">
              <v:imagedata r:id="rId90" o:title=""/>
            </v:shape>
            <v:shape style="position:absolute;left:11094;top:3572;width:10;height:10" type="#_x0000_t75" stroked="false">
              <v:imagedata r:id="rId61" o:title=""/>
            </v:shape>
            <v:shape style="position:absolute;left:11094;top:3581;width:10;height:3306" type="#_x0000_t75" stroked="false">
              <v:imagedata r:id="rId95" o:title=""/>
            </v:shape>
            <v:shape style="position:absolute;left:11094;top:6887;width:10;height:2860" type="#_x0000_t75" stroked="false">
              <v:imagedata r:id="rId93" o:title=""/>
            </v:shape>
            <w10:wrap type="none"/>
          </v:group>
        </w:pict>
      </w:r>
      <w:r>
        <w:rPr/>
        <w:pict>
          <v:line style="position:absolute;mso-position-horizontal-relative:page;mso-position-vertical-relative:page;z-index:-124168" from="560.380005pt,342.730011pt" to="712.900005pt,342.730011pt" stroked="true" strokeweight=".600010pt" strokecolor="#0462c1">
            <v:stroke dashstyle="solid"/>
            <w10:wrap type="none"/>
          </v:line>
        </w:pict>
      </w:r>
    </w:p>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1694"/>
        <w:gridCol w:w="1875"/>
        <w:gridCol w:w="1104"/>
        <w:gridCol w:w="2148"/>
        <w:gridCol w:w="1982"/>
        <w:gridCol w:w="4234"/>
      </w:tblGrid>
      <w:tr>
        <w:trPr>
          <w:trHeight w:val="512" w:hRule="atLeast"/>
        </w:trPr>
        <w:tc>
          <w:tcPr>
            <w:tcW w:w="14031" w:type="dxa"/>
            <w:gridSpan w:val="7"/>
            <w:tcBorders>
              <w:top w:val="single" w:sz="12" w:space="0" w:color="000000"/>
              <w:left w:val="single" w:sz="12" w:space="0" w:color="000000"/>
              <w:bottom w:val="single" w:sz="4" w:space="0" w:color="000000"/>
              <w:right w:val="single" w:sz="12" w:space="0" w:color="000000"/>
            </w:tcBorders>
            <w:shd w:val="clear" w:color="auto" w:fill="E7E6E6"/>
          </w:tcPr>
          <w:p>
            <w:pPr>
              <w:pStyle w:val="TableParagraph"/>
              <w:spacing w:before="1"/>
              <w:ind w:left="162"/>
              <w:rPr>
                <w:b/>
                <w:sz w:val="24"/>
              </w:rPr>
            </w:pPr>
            <w:r>
              <w:rPr>
                <w:b/>
                <w:sz w:val="24"/>
              </w:rPr>
              <w:t>I.b Disease-specific IVDs for primary health care</w:t>
            </w:r>
          </w:p>
        </w:tc>
      </w:tr>
      <w:tr>
        <w:trPr>
          <w:trHeight w:val="470" w:hRule="atLeast"/>
        </w:trPr>
        <w:tc>
          <w:tcPr>
            <w:tcW w:w="994" w:type="dxa"/>
            <w:tcBorders>
              <w:top w:val="single" w:sz="4" w:space="0" w:color="000000"/>
              <w:left w:val="single" w:sz="12" w:space="0" w:color="000000"/>
              <w:bottom w:val="single" w:sz="4" w:space="0" w:color="000000"/>
            </w:tcBorders>
            <w:shd w:val="clear" w:color="auto" w:fill="E7E6E6"/>
          </w:tcPr>
          <w:p>
            <w:pPr>
              <w:pStyle w:val="TableParagraph"/>
              <w:rPr>
                <w:rFonts w:ascii="Times New Roman"/>
                <w:sz w:val="18"/>
              </w:rPr>
            </w:pPr>
          </w:p>
        </w:tc>
        <w:tc>
          <w:tcPr>
            <w:tcW w:w="1694" w:type="dxa"/>
            <w:tcBorders>
              <w:top w:val="single" w:sz="4" w:space="0" w:color="000000"/>
              <w:bottom w:val="single" w:sz="4" w:space="0" w:color="000000"/>
            </w:tcBorders>
            <w:shd w:val="clear" w:color="auto" w:fill="E7E6E6"/>
          </w:tcPr>
          <w:p>
            <w:pPr>
              <w:pStyle w:val="TableParagraph"/>
              <w:spacing w:line="194" w:lineRule="exact"/>
              <w:ind w:left="117"/>
              <w:rPr>
                <w:b/>
                <w:sz w:val="16"/>
              </w:rPr>
            </w:pPr>
            <w:r>
              <w:rPr>
                <w:b/>
                <w:sz w:val="16"/>
              </w:rPr>
              <w:t>Diagnostic test</w:t>
            </w:r>
          </w:p>
        </w:tc>
        <w:tc>
          <w:tcPr>
            <w:tcW w:w="1875" w:type="dxa"/>
            <w:tcBorders>
              <w:top w:val="single" w:sz="4" w:space="0" w:color="000000"/>
              <w:bottom w:val="single" w:sz="4" w:space="0" w:color="000000"/>
            </w:tcBorders>
            <w:shd w:val="clear" w:color="auto" w:fill="E7E6E6"/>
          </w:tcPr>
          <w:p>
            <w:pPr>
              <w:pStyle w:val="TableParagraph"/>
              <w:spacing w:line="194" w:lineRule="exact"/>
              <w:ind w:left="122"/>
              <w:rPr>
                <w:b/>
                <w:sz w:val="16"/>
              </w:rPr>
            </w:pPr>
            <w:r>
              <w:rPr>
                <w:b/>
                <w:sz w:val="16"/>
              </w:rPr>
              <w:t>Test purpose</w:t>
            </w:r>
          </w:p>
        </w:tc>
        <w:tc>
          <w:tcPr>
            <w:tcW w:w="1104" w:type="dxa"/>
            <w:tcBorders>
              <w:top w:val="single" w:sz="4" w:space="0" w:color="000000"/>
              <w:bottom w:val="single" w:sz="4" w:space="0" w:color="000000"/>
            </w:tcBorders>
          </w:tcPr>
          <w:p>
            <w:pPr>
              <w:pStyle w:val="TableParagraph"/>
              <w:spacing w:line="194" w:lineRule="exact"/>
              <w:ind w:left="125"/>
              <w:rPr>
                <w:b/>
                <w:sz w:val="16"/>
              </w:rPr>
            </w:pPr>
            <w:r>
              <w:rPr>
                <w:b/>
                <w:sz w:val="16"/>
              </w:rPr>
              <w:t>Assay format</w:t>
            </w:r>
          </w:p>
        </w:tc>
        <w:tc>
          <w:tcPr>
            <w:tcW w:w="2148" w:type="dxa"/>
            <w:tcBorders>
              <w:top w:val="single" w:sz="4" w:space="0" w:color="000000"/>
              <w:bottom w:val="single" w:sz="4" w:space="0" w:color="000000"/>
            </w:tcBorders>
          </w:tcPr>
          <w:p>
            <w:pPr>
              <w:pStyle w:val="TableParagraph"/>
              <w:spacing w:line="194" w:lineRule="exact"/>
              <w:ind w:left="122"/>
              <w:rPr>
                <w:b/>
                <w:sz w:val="16"/>
              </w:rPr>
            </w:pPr>
            <w:r>
              <w:rPr>
                <w:b/>
                <w:sz w:val="16"/>
              </w:rPr>
              <w:t>Specimen type</w:t>
            </w:r>
          </w:p>
        </w:tc>
        <w:tc>
          <w:tcPr>
            <w:tcW w:w="1982" w:type="dxa"/>
            <w:tcBorders>
              <w:top w:val="single" w:sz="4" w:space="0" w:color="000000"/>
              <w:bottom w:val="single" w:sz="4" w:space="0" w:color="000000"/>
            </w:tcBorders>
            <w:shd w:val="clear" w:color="auto" w:fill="E7E6E6"/>
          </w:tcPr>
          <w:p>
            <w:pPr>
              <w:pStyle w:val="TableParagraph"/>
              <w:ind w:left="118" w:right="465"/>
              <w:rPr>
                <w:b/>
                <w:sz w:val="16"/>
              </w:rPr>
            </w:pPr>
            <w:r>
              <w:rPr>
                <w:b/>
                <w:sz w:val="16"/>
              </w:rPr>
              <w:t>WHO prequalified or endorsed products</w:t>
            </w:r>
          </w:p>
        </w:tc>
        <w:tc>
          <w:tcPr>
            <w:tcW w:w="4234" w:type="dxa"/>
            <w:tcBorders>
              <w:top w:val="single" w:sz="4" w:space="0" w:color="000000"/>
              <w:bottom w:val="single" w:sz="4" w:space="0" w:color="000000"/>
              <w:right w:val="single" w:sz="12" w:space="0" w:color="000000"/>
            </w:tcBorders>
            <w:shd w:val="clear" w:color="auto" w:fill="E7E6E6"/>
          </w:tcPr>
          <w:p>
            <w:pPr>
              <w:pStyle w:val="TableParagraph"/>
              <w:spacing w:line="194" w:lineRule="exact"/>
              <w:ind w:left="121"/>
              <w:rPr>
                <w:b/>
                <w:sz w:val="16"/>
              </w:rPr>
            </w:pPr>
            <w:r>
              <w:rPr>
                <w:b/>
                <w:sz w:val="16"/>
              </w:rPr>
              <w:t>WHO supporting documents</w:t>
            </w:r>
          </w:p>
        </w:tc>
      </w:tr>
      <w:tr>
        <w:trPr>
          <w:trHeight w:val="234" w:hRule="atLeast"/>
        </w:trPr>
        <w:tc>
          <w:tcPr>
            <w:tcW w:w="994" w:type="dxa"/>
            <w:tcBorders>
              <w:top w:val="single" w:sz="4" w:space="0" w:color="000000"/>
              <w:left w:val="single" w:sz="12" w:space="0" w:color="000000"/>
            </w:tcBorders>
          </w:tcPr>
          <w:p>
            <w:pPr>
              <w:pStyle w:val="TableParagraph"/>
              <w:spacing w:line="214" w:lineRule="exact"/>
              <w:ind w:left="107"/>
              <w:rPr>
                <w:sz w:val="18"/>
              </w:rPr>
            </w:pPr>
            <w:r>
              <w:rPr>
                <w:sz w:val="18"/>
              </w:rPr>
              <w:t>HIV</w:t>
            </w:r>
          </w:p>
        </w:tc>
        <w:tc>
          <w:tcPr>
            <w:tcW w:w="1694" w:type="dxa"/>
            <w:tcBorders>
              <w:top w:val="single" w:sz="4" w:space="0" w:color="000000"/>
            </w:tcBorders>
          </w:tcPr>
          <w:p>
            <w:pPr>
              <w:pStyle w:val="TableParagraph"/>
              <w:spacing w:line="214" w:lineRule="exact"/>
              <w:ind w:left="117"/>
              <w:rPr>
                <w:sz w:val="18"/>
              </w:rPr>
            </w:pPr>
            <w:r>
              <w:rPr>
                <w:sz w:val="18"/>
              </w:rPr>
              <w:t>Combined HIV</w:t>
            </w:r>
          </w:p>
        </w:tc>
        <w:tc>
          <w:tcPr>
            <w:tcW w:w="1875" w:type="dxa"/>
            <w:tcBorders>
              <w:top w:val="single" w:sz="4" w:space="0" w:color="000000"/>
            </w:tcBorders>
          </w:tcPr>
          <w:p>
            <w:pPr>
              <w:pStyle w:val="TableParagraph"/>
              <w:spacing w:line="214" w:lineRule="exact"/>
              <w:ind w:left="122"/>
              <w:rPr>
                <w:sz w:val="18"/>
              </w:rPr>
            </w:pPr>
            <w:r>
              <w:rPr>
                <w:sz w:val="18"/>
              </w:rPr>
              <w:t>For the diagnosis of</w:t>
            </w:r>
          </w:p>
        </w:tc>
        <w:tc>
          <w:tcPr>
            <w:tcW w:w="1104" w:type="dxa"/>
            <w:tcBorders>
              <w:top w:val="single" w:sz="4" w:space="0" w:color="000000"/>
            </w:tcBorders>
          </w:tcPr>
          <w:p>
            <w:pPr>
              <w:pStyle w:val="TableParagraph"/>
              <w:spacing w:line="214" w:lineRule="exact"/>
              <w:ind w:left="125"/>
              <w:rPr>
                <w:sz w:val="18"/>
              </w:rPr>
            </w:pPr>
            <w:r>
              <w:rPr>
                <w:sz w:val="18"/>
              </w:rPr>
              <w:t>RDT</w:t>
            </w:r>
          </w:p>
        </w:tc>
        <w:tc>
          <w:tcPr>
            <w:tcW w:w="2148" w:type="dxa"/>
            <w:tcBorders>
              <w:top w:val="single" w:sz="4" w:space="0" w:color="000000"/>
            </w:tcBorders>
          </w:tcPr>
          <w:p>
            <w:pPr>
              <w:pStyle w:val="TableParagraph"/>
              <w:spacing w:line="214" w:lineRule="exact"/>
              <w:ind w:left="122"/>
              <w:rPr>
                <w:sz w:val="18"/>
              </w:rPr>
            </w:pPr>
            <w:r>
              <w:rPr>
                <w:sz w:val="18"/>
              </w:rPr>
              <w:t>Oral fluid</w:t>
            </w:r>
          </w:p>
        </w:tc>
        <w:tc>
          <w:tcPr>
            <w:tcW w:w="1982" w:type="dxa"/>
            <w:tcBorders>
              <w:top w:val="single" w:sz="4" w:space="0" w:color="000000"/>
            </w:tcBorders>
          </w:tcPr>
          <w:p>
            <w:pPr>
              <w:pStyle w:val="TableParagraph"/>
              <w:spacing w:line="214" w:lineRule="exact"/>
              <w:ind w:left="118"/>
              <w:rPr>
                <w:sz w:val="18"/>
              </w:rPr>
            </w:pPr>
            <w:hyperlink r:id="rId96">
              <w:r>
                <w:rPr>
                  <w:color w:val="0462C1"/>
                  <w:sz w:val="18"/>
                  <w:u w:val="single" w:color="0462C1"/>
                </w:rPr>
                <w:t>http://www.who.int/di</w:t>
              </w:r>
            </w:hyperlink>
          </w:p>
        </w:tc>
        <w:tc>
          <w:tcPr>
            <w:tcW w:w="4234" w:type="dxa"/>
            <w:tcBorders>
              <w:top w:val="single" w:sz="4" w:space="0" w:color="000000"/>
              <w:right w:val="single" w:sz="12" w:space="0" w:color="000000"/>
            </w:tcBorders>
          </w:tcPr>
          <w:p>
            <w:pPr>
              <w:pStyle w:val="TableParagraph"/>
              <w:spacing w:line="214" w:lineRule="exact"/>
              <w:ind w:left="121"/>
              <w:rPr>
                <w:sz w:val="18"/>
              </w:rPr>
            </w:pPr>
            <w:r>
              <w:rPr>
                <w:sz w:val="18"/>
              </w:rPr>
              <w:t>Consolidated guidelines on HIV testing services (2015)</w:t>
            </w:r>
          </w:p>
        </w:tc>
      </w:tr>
      <w:tr>
        <w:trPr>
          <w:trHeight w:val="219" w:hRule="atLeast"/>
        </w:trPr>
        <w:tc>
          <w:tcPr>
            <w:tcW w:w="994" w:type="dxa"/>
            <w:tcBorders>
              <w:left w:val="single" w:sz="12" w:space="0" w:color="000000"/>
            </w:tcBorders>
          </w:tcPr>
          <w:p>
            <w:pPr>
              <w:pStyle w:val="TableParagraph"/>
              <w:rPr>
                <w:rFonts w:ascii="Times New Roman"/>
                <w:sz w:val="14"/>
              </w:rPr>
            </w:pPr>
          </w:p>
        </w:tc>
        <w:tc>
          <w:tcPr>
            <w:tcW w:w="1694" w:type="dxa"/>
          </w:tcPr>
          <w:p>
            <w:pPr>
              <w:pStyle w:val="TableParagraph"/>
              <w:spacing w:line="200" w:lineRule="exact"/>
              <w:ind w:left="117"/>
              <w:rPr>
                <w:sz w:val="18"/>
              </w:rPr>
            </w:pPr>
            <w:r>
              <w:rPr>
                <w:sz w:val="18"/>
              </w:rPr>
              <w:t>antibody/p24</w:t>
            </w:r>
          </w:p>
        </w:tc>
        <w:tc>
          <w:tcPr>
            <w:tcW w:w="1875" w:type="dxa"/>
          </w:tcPr>
          <w:p>
            <w:pPr>
              <w:pStyle w:val="TableParagraph"/>
              <w:spacing w:line="200" w:lineRule="exact"/>
              <w:ind w:left="122"/>
              <w:rPr>
                <w:sz w:val="18"/>
              </w:rPr>
            </w:pPr>
            <w:r>
              <w:rPr>
                <w:sz w:val="18"/>
              </w:rPr>
              <w:t>HIV infection: adults,</w:t>
            </w:r>
          </w:p>
        </w:tc>
        <w:tc>
          <w:tcPr>
            <w:tcW w:w="1104" w:type="dxa"/>
          </w:tcPr>
          <w:p>
            <w:pPr>
              <w:pStyle w:val="TableParagraph"/>
              <w:rPr>
                <w:rFonts w:ascii="Times New Roman"/>
                <w:sz w:val="14"/>
              </w:rPr>
            </w:pPr>
          </w:p>
        </w:tc>
        <w:tc>
          <w:tcPr>
            <w:tcW w:w="2148" w:type="dxa"/>
          </w:tcPr>
          <w:p>
            <w:pPr>
              <w:pStyle w:val="TableParagraph"/>
              <w:spacing w:line="200" w:lineRule="exact"/>
              <w:ind w:left="122"/>
              <w:rPr>
                <w:sz w:val="18"/>
              </w:rPr>
            </w:pPr>
            <w:r>
              <w:rPr>
                <w:sz w:val="18"/>
              </w:rPr>
              <w:t>Capillary whole blood</w:t>
            </w:r>
          </w:p>
        </w:tc>
        <w:tc>
          <w:tcPr>
            <w:tcW w:w="1982" w:type="dxa"/>
          </w:tcPr>
          <w:p>
            <w:pPr>
              <w:pStyle w:val="TableParagraph"/>
              <w:spacing w:line="200" w:lineRule="exact"/>
              <w:ind w:left="118"/>
              <w:rPr>
                <w:sz w:val="18"/>
              </w:rPr>
            </w:pPr>
            <w:hyperlink r:id="rId96">
              <w:r>
                <w:rPr>
                  <w:color w:val="0462C1"/>
                  <w:sz w:val="18"/>
                  <w:u w:val="single" w:color="0462C1"/>
                </w:rPr>
                <w:t>agnostics_laboratory/e</w:t>
              </w:r>
            </w:hyperlink>
          </w:p>
        </w:tc>
        <w:tc>
          <w:tcPr>
            <w:tcW w:w="4234" w:type="dxa"/>
            <w:tcBorders>
              <w:right w:val="single" w:sz="12" w:space="0" w:color="000000"/>
            </w:tcBorders>
          </w:tcPr>
          <w:p>
            <w:pPr>
              <w:pStyle w:val="TableParagraph"/>
              <w:spacing w:line="200" w:lineRule="exact"/>
              <w:ind w:left="121"/>
              <w:rPr>
                <w:sz w:val="18"/>
              </w:rPr>
            </w:pPr>
            <w:hyperlink r:id="rId97">
              <w:r>
                <w:rPr>
                  <w:color w:val="0462C1"/>
                  <w:sz w:val="18"/>
                  <w:u w:val="single" w:color="0462C1"/>
                </w:rPr>
                <w:t>http://www.who.int/hiv/pub/guidelines/hiv-testing-</w:t>
              </w:r>
            </w:hyperlink>
          </w:p>
        </w:tc>
      </w:tr>
      <w:tr>
        <w:trPr>
          <w:trHeight w:val="221" w:hRule="atLeast"/>
        </w:trPr>
        <w:tc>
          <w:tcPr>
            <w:tcW w:w="994" w:type="dxa"/>
            <w:tcBorders>
              <w:left w:val="single" w:sz="12" w:space="0" w:color="000000"/>
            </w:tcBorders>
          </w:tcPr>
          <w:p>
            <w:pPr>
              <w:pStyle w:val="TableParagraph"/>
              <w:rPr>
                <w:rFonts w:ascii="Times New Roman"/>
                <w:sz w:val="14"/>
              </w:rPr>
            </w:pPr>
          </w:p>
        </w:tc>
        <w:tc>
          <w:tcPr>
            <w:tcW w:w="1694" w:type="dxa"/>
          </w:tcPr>
          <w:p>
            <w:pPr>
              <w:pStyle w:val="TableParagraph"/>
              <w:spacing w:line="201" w:lineRule="exact"/>
              <w:ind w:left="117"/>
              <w:rPr>
                <w:sz w:val="18"/>
              </w:rPr>
            </w:pPr>
            <w:r>
              <w:rPr>
                <w:sz w:val="18"/>
              </w:rPr>
              <w:t>antigen (anti-</w:t>
            </w:r>
          </w:p>
        </w:tc>
        <w:tc>
          <w:tcPr>
            <w:tcW w:w="1875" w:type="dxa"/>
          </w:tcPr>
          <w:p>
            <w:pPr>
              <w:pStyle w:val="TableParagraph"/>
              <w:spacing w:line="201" w:lineRule="exact"/>
              <w:ind w:left="122"/>
              <w:rPr>
                <w:sz w:val="18"/>
              </w:rPr>
            </w:pPr>
            <w:r>
              <w:rPr>
                <w:sz w:val="18"/>
              </w:rPr>
              <w:t>adolescents, children</w:t>
            </w:r>
          </w:p>
        </w:tc>
        <w:tc>
          <w:tcPr>
            <w:tcW w:w="1104" w:type="dxa"/>
          </w:tcPr>
          <w:p>
            <w:pPr>
              <w:pStyle w:val="TableParagraph"/>
              <w:rPr>
                <w:rFonts w:ascii="Times New Roman"/>
                <w:sz w:val="14"/>
              </w:rPr>
            </w:pPr>
          </w:p>
        </w:tc>
        <w:tc>
          <w:tcPr>
            <w:tcW w:w="2148" w:type="dxa"/>
          </w:tcPr>
          <w:p>
            <w:pPr>
              <w:pStyle w:val="TableParagraph"/>
              <w:rPr>
                <w:rFonts w:ascii="Times New Roman"/>
                <w:sz w:val="14"/>
              </w:rPr>
            </w:pPr>
          </w:p>
        </w:tc>
        <w:tc>
          <w:tcPr>
            <w:tcW w:w="1982" w:type="dxa"/>
          </w:tcPr>
          <w:p>
            <w:pPr>
              <w:pStyle w:val="TableParagraph"/>
              <w:spacing w:line="201" w:lineRule="exact"/>
              <w:ind w:left="118"/>
              <w:rPr>
                <w:sz w:val="18"/>
              </w:rPr>
            </w:pPr>
            <w:hyperlink r:id="rId96">
              <w:r>
                <w:rPr>
                  <w:color w:val="0462C1"/>
                  <w:sz w:val="18"/>
                  <w:u w:val="single" w:color="0462C1"/>
                </w:rPr>
                <w:t>valuations/pq-list/hiv-</w:t>
              </w:r>
            </w:hyperlink>
          </w:p>
        </w:tc>
        <w:tc>
          <w:tcPr>
            <w:tcW w:w="4234" w:type="dxa"/>
            <w:tcBorders>
              <w:right w:val="single" w:sz="12" w:space="0" w:color="000000"/>
            </w:tcBorders>
          </w:tcPr>
          <w:p>
            <w:pPr>
              <w:pStyle w:val="TableParagraph"/>
              <w:spacing w:line="201" w:lineRule="exact"/>
              <w:ind w:left="121"/>
              <w:rPr>
                <w:sz w:val="18"/>
              </w:rPr>
            </w:pPr>
            <w:hyperlink r:id="rId97">
              <w:r>
                <w:rPr>
                  <w:color w:val="0462C1"/>
                  <w:sz w:val="18"/>
                  <w:u w:val="single" w:color="0462C1"/>
                </w:rPr>
                <w:t>services/en/</w:t>
              </w:r>
            </w:hyperlink>
          </w:p>
        </w:tc>
      </w:tr>
      <w:tr>
        <w:trPr>
          <w:trHeight w:val="219" w:hRule="atLeast"/>
        </w:trPr>
        <w:tc>
          <w:tcPr>
            <w:tcW w:w="994" w:type="dxa"/>
            <w:tcBorders>
              <w:left w:val="single" w:sz="12" w:space="0" w:color="000000"/>
            </w:tcBorders>
          </w:tcPr>
          <w:p>
            <w:pPr>
              <w:pStyle w:val="TableParagraph"/>
              <w:rPr>
                <w:rFonts w:ascii="Times New Roman"/>
                <w:sz w:val="14"/>
              </w:rPr>
            </w:pPr>
          </w:p>
        </w:tc>
        <w:tc>
          <w:tcPr>
            <w:tcW w:w="1694" w:type="dxa"/>
          </w:tcPr>
          <w:p>
            <w:pPr>
              <w:pStyle w:val="TableParagraph"/>
              <w:spacing w:line="200" w:lineRule="exact"/>
              <w:ind w:left="117"/>
              <w:rPr>
                <w:sz w:val="18"/>
              </w:rPr>
            </w:pPr>
            <w:r>
              <w:rPr>
                <w:sz w:val="18"/>
              </w:rPr>
              <w:t>HIV/p24 Ag) test</w:t>
            </w:r>
          </w:p>
        </w:tc>
        <w:tc>
          <w:tcPr>
            <w:tcW w:w="1875" w:type="dxa"/>
          </w:tcPr>
          <w:p>
            <w:pPr>
              <w:pStyle w:val="TableParagraph"/>
              <w:spacing w:line="200" w:lineRule="exact"/>
              <w:ind w:left="122"/>
              <w:rPr>
                <w:sz w:val="18"/>
              </w:rPr>
            </w:pPr>
            <w:r>
              <w:rPr>
                <w:sz w:val="18"/>
              </w:rPr>
              <w:t>and infants over 18</w:t>
            </w:r>
          </w:p>
        </w:tc>
        <w:tc>
          <w:tcPr>
            <w:tcW w:w="1104" w:type="dxa"/>
          </w:tcPr>
          <w:p>
            <w:pPr>
              <w:pStyle w:val="TableParagraph"/>
              <w:rPr>
                <w:rFonts w:ascii="Times New Roman"/>
                <w:sz w:val="14"/>
              </w:rPr>
            </w:pPr>
          </w:p>
        </w:tc>
        <w:tc>
          <w:tcPr>
            <w:tcW w:w="2148" w:type="dxa"/>
          </w:tcPr>
          <w:p>
            <w:pPr>
              <w:pStyle w:val="TableParagraph"/>
              <w:rPr>
                <w:rFonts w:ascii="Times New Roman"/>
                <w:sz w:val="14"/>
              </w:rPr>
            </w:pPr>
          </w:p>
        </w:tc>
        <w:tc>
          <w:tcPr>
            <w:tcW w:w="1982" w:type="dxa"/>
          </w:tcPr>
          <w:p>
            <w:pPr>
              <w:pStyle w:val="TableParagraph"/>
              <w:spacing w:line="200" w:lineRule="exact"/>
              <w:ind w:left="118"/>
              <w:rPr>
                <w:sz w:val="18"/>
              </w:rPr>
            </w:pPr>
            <w:hyperlink r:id="rId96">
              <w:r>
                <w:rPr>
                  <w:color w:val="0462C1"/>
                  <w:sz w:val="18"/>
                  <w:u w:val="single" w:color="0462C1"/>
                </w:rPr>
                <w:t>rdts/public_report/en/</w:t>
              </w:r>
            </w:hyperlink>
          </w:p>
        </w:tc>
        <w:tc>
          <w:tcPr>
            <w:tcW w:w="4234" w:type="dxa"/>
            <w:tcBorders>
              <w:right w:val="single" w:sz="12" w:space="0" w:color="000000"/>
            </w:tcBorders>
          </w:tcPr>
          <w:p>
            <w:pPr>
              <w:pStyle w:val="TableParagraph"/>
              <w:rPr>
                <w:rFonts w:ascii="Times New Roman"/>
                <w:sz w:val="14"/>
              </w:rPr>
            </w:pPr>
          </w:p>
        </w:tc>
      </w:tr>
      <w:tr>
        <w:trPr>
          <w:trHeight w:val="204" w:hRule="atLeast"/>
        </w:trPr>
        <w:tc>
          <w:tcPr>
            <w:tcW w:w="994" w:type="dxa"/>
            <w:tcBorders>
              <w:left w:val="single" w:sz="12" w:space="0" w:color="000000"/>
              <w:bottom w:val="single" w:sz="4" w:space="0" w:color="000000"/>
            </w:tcBorders>
          </w:tcPr>
          <w:p>
            <w:pPr>
              <w:pStyle w:val="TableParagraph"/>
              <w:rPr>
                <w:rFonts w:ascii="Times New Roman"/>
                <w:sz w:val="14"/>
              </w:rPr>
            </w:pPr>
          </w:p>
        </w:tc>
        <w:tc>
          <w:tcPr>
            <w:tcW w:w="1694" w:type="dxa"/>
            <w:tcBorders>
              <w:bottom w:val="single" w:sz="4" w:space="0" w:color="000000"/>
            </w:tcBorders>
          </w:tcPr>
          <w:p>
            <w:pPr>
              <w:pStyle w:val="TableParagraph"/>
              <w:rPr>
                <w:rFonts w:ascii="Times New Roman"/>
                <w:sz w:val="14"/>
              </w:rPr>
            </w:pPr>
          </w:p>
        </w:tc>
        <w:tc>
          <w:tcPr>
            <w:tcW w:w="1875" w:type="dxa"/>
            <w:tcBorders>
              <w:bottom w:val="single" w:sz="4" w:space="0" w:color="000000"/>
            </w:tcBorders>
          </w:tcPr>
          <w:p>
            <w:pPr>
              <w:pStyle w:val="TableParagraph"/>
              <w:spacing w:line="184" w:lineRule="exact"/>
              <w:ind w:left="122"/>
              <w:rPr>
                <w:sz w:val="18"/>
              </w:rPr>
            </w:pPr>
            <w:r>
              <w:rPr>
                <w:sz w:val="18"/>
              </w:rPr>
              <w:t>months of age</w:t>
            </w:r>
          </w:p>
        </w:tc>
        <w:tc>
          <w:tcPr>
            <w:tcW w:w="1104" w:type="dxa"/>
            <w:tcBorders>
              <w:bottom w:val="single" w:sz="4" w:space="0" w:color="000000"/>
            </w:tcBorders>
          </w:tcPr>
          <w:p>
            <w:pPr>
              <w:pStyle w:val="TableParagraph"/>
              <w:rPr>
                <w:rFonts w:ascii="Times New Roman"/>
                <w:sz w:val="14"/>
              </w:rPr>
            </w:pPr>
          </w:p>
        </w:tc>
        <w:tc>
          <w:tcPr>
            <w:tcW w:w="2148" w:type="dxa"/>
            <w:tcBorders>
              <w:bottom w:val="single" w:sz="4" w:space="0" w:color="000000"/>
            </w:tcBorders>
          </w:tcPr>
          <w:p>
            <w:pPr>
              <w:pStyle w:val="TableParagraph"/>
              <w:rPr>
                <w:rFonts w:ascii="Times New Roman"/>
                <w:sz w:val="14"/>
              </w:rPr>
            </w:pPr>
          </w:p>
        </w:tc>
        <w:tc>
          <w:tcPr>
            <w:tcW w:w="1982" w:type="dxa"/>
            <w:tcBorders>
              <w:bottom w:val="single" w:sz="4" w:space="0" w:color="000000"/>
            </w:tcBorders>
          </w:tcPr>
          <w:p>
            <w:pPr>
              <w:pStyle w:val="TableParagraph"/>
              <w:rPr>
                <w:rFonts w:ascii="Times New Roman"/>
                <w:sz w:val="14"/>
              </w:rPr>
            </w:pPr>
          </w:p>
        </w:tc>
        <w:tc>
          <w:tcPr>
            <w:tcW w:w="4234" w:type="dxa"/>
            <w:tcBorders>
              <w:bottom w:val="single" w:sz="4" w:space="0" w:color="000000"/>
              <w:right w:val="single" w:sz="12" w:space="0" w:color="000000"/>
            </w:tcBorders>
          </w:tcPr>
          <w:p>
            <w:pPr>
              <w:pStyle w:val="TableParagraph"/>
              <w:rPr>
                <w:rFonts w:ascii="Times New Roman"/>
                <w:sz w:val="14"/>
              </w:rPr>
            </w:pPr>
          </w:p>
        </w:tc>
      </w:tr>
      <w:tr>
        <w:trPr>
          <w:trHeight w:val="2322" w:hRule="atLeast"/>
        </w:trPr>
        <w:tc>
          <w:tcPr>
            <w:tcW w:w="994" w:type="dxa"/>
            <w:tcBorders>
              <w:top w:val="single" w:sz="4" w:space="0" w:color="000000"/>
              <w:left w:val="single" w:sz="12" w:space="0" w:color="000000"/>
            </w:tcBorders>
          </w:tcPr>
          <w:p>
            <w:pPr>
              <w:pStyle w:val="TableParagraph"/>
              <w:spacing w:line="219" w:lineRule="exact"/>
              <w:ind w:left="107"/>
              <w:rPr>
                <w:sz w:val="18"/>
              </w:rPr>
            </w:pPr>
            <w:r>
              <w:rPr>
                <w:sz w:val="18"/>
              </w:rPr>
              <w:t>Malaria</w:t>
            </w:r>
          </w:p>
        </w:tc>
        <w:tc>
          <w:tcPr>
            <w:tcW w:w="1694" w:type="dxa"/>
            <w:tcBorders>
              <w:top w:val="single" w:sz="4" w:space="0" w:color="000000"/>
            </w:tcBorders>
          </w:tcPr>
          <w:p>
            <w:pPr>
              <w:pStyle w:val="TableParagraph"/>
              <w:ind w:left="117" w:right="151"/>
              <w:rPr>
                <w:sz w:val="18"/>
              </w:rPr>
            </w:pPr>
            <w:r>
              <w:rPr>
                <w:i/>
                <w:sz w:val="18"/>
              </w:rPr>
              <w:t>Plasmodium </w:t>
            </w:r>
            <w:r>
              <w:rPr>
                <w:sz w:val="18"/>
              </w:rPr>
              <w:t>spp. antigens; species specific (e.g. HRP2) and/or pan-species specific (e.g. pan- pLDH)</w:t>
            </w:r>
          </w:p>
        </w:tc>
        <w:tc>
          <w:tcPr>
            <w:tcW w:w="1875" w:type="dxa"/>
            <w:tcBorders>
              <w:top w:val="single" w:sz="4" w:space="0" w:color="000000"/>
            </w:tcBorders>
          </w:tcPr>
          <w:p>
            <w:pPr>
              <w:pStyle w:val="TableParagraph"/>
              <w:ind w:left="122" w:right="103"/>
              <w:rPr>
                <w:i/>
                <w:sz w:val="18"/>
              </w:rPr>
            </w:pPr>
            <w:r>
              <w:rPr>
                <w:sz w:val="18"/>
              </w:rPr>
              <w:t>For diagnosis of one or more human malaria species (</w:t>
            </w:r>
            <w:r>
              <w:rPr>
                <w:i/>
                <w:sz w:val="18"/>
              </w:rPr>
              <w:t>P. </w:t>
            </w:r>
            <w:r>
              <w:rPr>
                <w:i/>
                <w:sz w:val="18"/>
              </w:rPr>
              <w:t>falciparum, P. vivax, P. malariae,</w:t>
            </w:r>
          </w:p>
          <w:p>
            <w:pPr>
              <w:pStyle w:val="TableParagraph"/>
              <w:ind w:left="122"/>
              <w:rPr>
                <w:sz w:val="18"/>
              </w:rPr>
            </w:pPr>
            <w:r>
              <w:rPr>
                <w:i/>
                <w:sz w:val="18"/>
              </w:rPr>
              <w:t>P. ovale</w:t>
            </w:r>
            <w:r>
              <w:rPr>
                <w:sz w:val="18"/>
              </w:rPr>
              <w:t>)</w:t>
            </w:r>
          </w:p>
        </w:tc>
        <w:tc>
          <w:tcPr>
            <w:tcW w:w="1104" w:type="dxa"/>
            <w:tcBorders>
              <w:top w:val="single" w:sz="4" w:space="0" w:color="000000"/>
            </w:tcBorders>
          </w:tcPr>
          <w:p>
            <w:pPr>
              <w:pStyle w:val="TableParagraph"/>
              <w:spacing w:line="219" w:lineRule="exact"/>
              <w:ind w:left="125"/>
              <w:rPr>
                <w:sz w:val="18"/>
              </w:rPr>
            </w:pPr>
            <w:r>
              <w:rPr>
                <w:sz w:val="18"/>
              </w:rPr>
              <w:t>RDT</w:t>
            </w:r>
          </w:p>
        </w:tc>
        <w:tc>
          <w:tcPr>
            <w:tcW w:w="2148" w:type="dxa"/>
            <w:tcBorders>
              <w:top w:val="single" w:sz="4" w:space="0" w:color="000000"/>
            </w:tcBorders>
          </w:tcPr>
          <w:p>
            <w:pPr>
              <w:pStyle w:val="TableParagraph"/>
              <w:spacing w:line="219" w:lineRule="exact"/>
              <w:ind w:left="122"/>
              <w:rPr>
                <w:sz w:val="18"/>
              </w:rPr>
            </w:pPr>
            <w:r>
              <w:rPr>
                <w:sz w:val="18"/>
              </w:rPr>
              <w:t>Capillary whole blood</w:t>
            </w:r>
          </w:p>
        </w:tc>
        <w:tc>
          <w:tcPr>
            <w:tcW w:w="1982" w:type="dxa"/>
            <w:tcBorders>
              <w:top w:val="single" w:sz="4" w:space="0" w:color="000000"/>
            </w:tcBorders>
          </w:tcPr>
          <w:p>
            <w:pPr>
              <w:pStyle w:val="TableParagraph"/>
              <w:ind w:left="118" w:right="168"/>
              <w:rPr>
                <w:sz w:val="18"/>
              </w:rPr>
            </w:pPr>
            <w:hyperlink r:id="rId98">
              <w:r>
                <w:rPr>
                  <w:color w:val="0462C1"/>
                  <w:sz w:val="18"/>
                  <w:u w:val="single" w:color="0462C1"/>
                </w:rPr>
                <w:t>http://www.who.int/di</w:t>
              </w:r>
            </w:hyperlink>
            <w:r>
              <w:rPr>
                <w:color w:val="0462C1"/>
                <w:sz w:val="18"/>
              </w:rPr>
              <w:t> </w:t>
            </w:r>
            <w:hyperlink r:id="rId98">
              <w:r>
                <w:rPr>
                  <w:color w:val="0462C1"/>
                  <w:sz w:val="18"/>
                  <w:u w:val="single" w:color="0462C1"/>
                </w:rPr>
                <w:t>agnostics_laboratory/e</w:t>
              </w:r>
            </w:hyperlink>
            <w:r>
              <w:rPr>
                <w:color w:val="0462C1"/>
                <w:sz w:val="18"/>
              </w:rPr>
              <w:t> </w:t>
            </w:r>
            <w:hyperlink r:id="rId98">
              <w:r>
                <w:rPr>
                  <w:color w:val="0462C1"/>
                  <w:sz w:val="18"/>
                  <w:u w:val="single" w:color="0462C1"/>
                </w:rPr>
                <w:t>valuations/pq-</w:t>
              </w:r>
            </w:hyperlink>
            <w:r>
              <w:rPr>
                <w:color w:val="0462C1"/>
                <w:sz w:val="18"/>
              </w:rPr>
              <w:t> </w:t>
            </w:r>
            <w:hyperlink r:id="rId98">
              <w:r>
                <w:rPr>
                  <w:color w:val="0462C1"/>
                  <w:sz w:val="18"/>
                  <w:u w:val="single" w:color="0462C1"/>
                </w:rPr>
                <w:t>list/malaria/public_rep</w:t>
              </w:r>
            </w:hyperlink>
            <w:r>
              <w:rPr>
                <w:color w:val="0462C1"/>
                <w:sz w:val="18"/>
              </w:rPr>
              <w:t> </w:t>
            </w:r>
            <w:hyperlink r:id="rId98">
              <w:r>
                <w:rPr>
                  <w:color w:val="0462C1"/>
                  <w:sz w:val="18"/>
                  <w:u w:val="single" w:color="0462C1"/>
                </w:rPr>
                <w:t>ort/en/</w:t>
              </w:r>
            </w:hyperlink>
          </w:p>
        </w:tc>
        <w:tc>
          <w:tcPr>
            <w:tcW w:w="4234" w:type="dxa"/>
            <w:tcBorders>
              <w:top w:val="single" w:sz="4" w:space="0" w:color="000000"/>
              <w:right w:val="single" w:sz="12" w:space="0" w:color="000000"/>
            </w:tcBorders>
          </w:tcPr>
          <w:p>
            <w:pPr>
              <w:pStyle w:val="TableParagraph"/>
              <w:ind w:left="121" w:right="102"/>
              <w:rPr>
                <w:sz w:val="18"/>
              </w:rPr>
            </w:pPr>
            <w:r>
              <w:rPr>
                <w:sz w:val="18"/>
              </w:rPr>
              <w:t>WHO guidelines for the treatment of malaria, third edition (2015) </w:t>
            </w:r>
            <w:hyperlink r:id="rId99">
              <w:r>
                <w:rPr>
                  <w:color w:val="0462C1"/>
                  <w:sz w:val="18"/>
                  <w:u w:val="single" w:color="0462C1"/>
                </w:rPr>
                <w:t>http://apps.who.int/iris/bitstream/10665/162441/1/9</w:t>
              </w:r>
            </w:hyperlink>
            <w:r>
              <w:rPr>
                <w:color w:val="0462C1"/>
                <w:sz w:val="18"/>
              </w:rPr>
              <w:t> </w:t>
            </w:r>
            <w:hyperlink r:id="rId99">
              <w:r>
                <w:rPr>
                  <w:color w:val="0462C1"/>
                  <w:sz w:val="18"/>
                  <w:u w:val="single" w:color="0462C1"/>
                </w:rPr>
                <w:t>789241549127_eng.pdf</w:t>
              </w:r>
            </w:hyperlink>
          </w:p>
          <w:p>
            <w:pPr>
              <w:pStyle w:val="TableParagraph"/>
              <w:rPr>
                <w:rFonts w:ascii="Times New Roman"/>
                <w:sz w:val="19"/>
              </w:rPr>
            </w:pPr>
          </w:p>
          <w:p>
            <w:pPr>
              <w:pStyle w:val="TableParagraph"/>
              <w:ind w:left="121" w:right="92"/>
              <w:rPr>
                <w:sz w:val="18"/>
              </w:rPr>
            </w:pPr>
            <w:r>
              <w:rPr>
                <w:sz w:val="18"/>
              </w:rPr>
              <w:t>Malaria rapid diagnostic test performance. </w:t>
            </w:r>
            <w:r>
              <w:rPr>
                <w:sz w:val="18"/>
                <w:u w:val="single"/>
              </w:rPr>
              <w:t>Results of</w:t>
            </w:r>
            <w:r>
              <w:rPr>
                <w:sz w:val="18"/>
              </w:rPr>
              <w:t> </w:t>
            </w:r>
            <w:r>
              <w:rPr>
                <w:sz w:val="18"/>
                <w:u w:val="single"/>
              </w:rPr>
              <w:t>WHO product testing of malaria RDTs: Round 7 (2015–</w:t>
            </w:r>
            <w:r>
              <w:rPr>
                <w:sz w:val="18"/>
              </w:rPr>
              <w:t> </w:t>
            </w:r>
            <w:r>
              <w:rPr>
                <w:sz w:val="18"/>
                <w:u w:val="single"/>
              </w:rPr>
              <w:t>2016)</w:t>
            </w:r>
          </w:p>
          <w:p>
            <w:pPr>
              <w:pStyle w:val="TableParagraph"/>
              <w:ind w:left="121" w:right="105"/>
              <w:rPr>
                <w:sz w:val="18"/>
              </w:rPr>
            </w:pPr>
            <w:hyperlink r:id="rId100">
              <w:r>
                <w:rPr>
                  <w:color w:val="0462C1"/>
                  <w:sz w:val="18"/>
                  <w:u w:val="single" w:color="0462C1"/>
                </w:rPr>
                <w:t>http://www.who.int/malaria/publications/atoz/97892</w:t>
              </w:r>
            </w:hyperlink>
            <w:r>
              <w:rPr>
                <w:color w:val="0462C1"/>
                <w:sz w:val="18"/>
              </w:rPr>
              <w:t> </w:t>
            </w:r>
            <w:hyperlink r:id="rId100">
              <w:r>
                <w:rPr>
                  <w:color w:val="0462C1"/>
                  <w:sz w:val="18"/>
                  <w:u w:val="single" w:color="0462C1"/>
                </w:rPr>
                <w:t>4151268/en/</w:t>
              </w:r>
            </w:hyperlink>
          </w:p>
        </w:tc>
      </w:tr>
      <w:tr>
        <w:trPr>
          <w:trHeight w:val="972" w:hRule="atLeast"/>
        </w:trPr>
        <w:tc>
          <w:tcPr>
            <w:tcW w:w="994" w:type="dxa"/>
            <w:tcBorders>
              <w:left w:val="single" w:sz="12" w:space="0" w:color="000000"/>
            </w:tcBorders>
          </w:tcPr>
          <w:p>
            <w:pPr>
              <w:pStyle w:val="TableParagraph"/>
              <w:rPr>
                <w:rFonts w:ascii="Times New Roman"/>
                <w:sz w:val="18"/>
              </w:rPr>
            </w:pPr>
          </w:p>
        </w:tc>
        <w:tc>
          <w:tcPr>
            <w:tcW w:w="1694" w:type="dxa"/>
            <w:tcBorders>
              <w:bottom w:val="single" w:sz="4" w:space="0" w:color="000000"/>
            </w:tcBorders>
          </w:tcPr>
          <w:p>
            <w:pPr>
              <w:pStyle w:val="TableParagraph"/>
              <w:rPr>
                <w:rFonts w:ascii="Times New Roman"/>
                <w:sz w:val="18"/>
              </w:rPr>
            </w:pPr>
          </w:p>
        </w:tc>
        <w:tc>
          <w:tcPr>
            <w:tcW w:w="1875" w:type="dxa"/>
            <w:tcBorders>
              <w:bottom w:val="single" w:sz="4" w:space="0" w:color="000000"/>
            </w:tcBorders>
          </w:tcPr>
          <w:p>
            <w:pPr>
              <w:pStyle w:val="TableParagraph"/>
              <w:rPr>
                <w:rFonts w:ascii="Times New Roman"/>
                <w:sz w:val="18"/>
              </w:rPr>
            </w:pPr>
          </w:p>
        </w:tc>
        <w:tc>
          <w:tcPr>
            <w:tcW w:w="1104" w:type="dxa"/>
          </w:tcPr>
          <w:p>
            <w:pPr>
              <w:pStyle w:val="TableParagraph"/>
              <w:rPr>
                <w:rFonts w:ascii="Times New Roman"/>
                <w:sz w:val="18"/>
              </w:rPr>
            </w:pPr>
          </w:p>
        </w:tc>
        <w:tc>
          <w:tcPr>
            <w:tcW w:w="2148" w:type="dxa"/>
          </w:tcPr>
          <w:p>
            <w:pPr>
              <w:pStyle w:val="TableParagraph"/>
              <w:rPr>
                <w:rFonts w:ascii="Times New Roman"/>
                <w:sz w:val="18"/>
              </w:rPr>
            </w:pPr>
          </w:p>
        </w:tc>
        <w:tc>
          <w:tcPr>
            <w:tcW w:w="1982" w:type="dxa"/>
            <w:tcBorders>
              <w:bottom w:val="single" w:sz="4" w:space="0" w:color="000000"/>
            </w:tcBorders>
          </w:tcPr>
          <w:p>
            <w:pPr>
              <w:pStyle w:val="TableParagraph"/>
              <w:rPr>
                <w:rFonts w:ascii="Times New Roman"/>
                <w:sz w:val="18"/>
              </w:rPr>
            </w:pPr>
          </w:p>
        </w:tc>
        <w:tc>
          <w:tcPr>
            <w:tcW w:w="4234" w:type="dxa"/>
            <w:tcBorders>
              <w:bottom w:val="single" w:sz="4" w:space="0" w:color="000000"/>
              <w:right w:val="single" w:sz="12" w:space="0" w:color="000000"/>
            </w:tcBorders>
          </w:tcPr>
          <w:p>
            <w:pPr>
              <w:pStyle w:val="TableParagraph"/>
              <w:spacing w:before="93"/>
              <w:ind w:left="121" w:right="126"/>
              <w:rPr>
                <w:sz w:val="18"/>
              </w:rPr>
            </w:pPr>
            <w:r>
              <w:rPr>
                <w:sz w:val="18"/>
              </w:rPr>
              <w:t>WHO good practices for selecting and procuring rapid diagnostic tests for malaria (2011) </w:t>
            </w:r>
            <w:hyperlink r:id="rId101">
              <w:r>
                <w:rPr>
                  <w:color w:val="0462C1"/>
                  <w:sz w:val="18"/>
                  <w:u w:val="single" w:color="0462C1"/>
                </w:rPr>
                <w:t>http://apps.who.int/iris/bitstream/handle/10665/445</w:t>
              </w:r>
            </w:hyperlink>
          </w:p>
          <w:p>
            <w:pPr>
              <w:pStyle w:val="TableParagraph"/>
              <w:spacing w:line="199" w:lineRule="exact" w:before="1"/>
              <w:ind w:left="121"/>
              <w:rPr>
                <w:sz w:val="18"/>
              </w:rPr>
            </w:pPr>
            <w:hyperlink r:id="rId101">
              <w:r>
                <w:rPr>
                  <w:color w:val="0462C1"/>
                  <w:sz w:val="18"/>
                </w:rPr>
                <w:t>30/9789241501125_eng.pdf?sequence=1</w:t>
              </w:r>
            </w:hyperlink>
          </w:p>
        </w:tc>
      </w:tr>
      <w:tr>
        <w:trPr>
          <w:trHeight w:val="1979" w:hRule="atLeast"/>
        </w:trPr>
        <w:tc>
          <w:tcPr>
            <w:tcW w:w="994" w:type="dxa"/>
            <w:vMerge w:val="restart"/>
            <w:tcBorders>
              <w:left w:val="single" w:sz="12" w:space="0" w:color="000000"/>
              <w:bottom w:val="single" w:sz="12" w:space="0" w:color="000000"/>
            </w:tcBorders>
          </w:tcPr>
          <w:p>
            <w:pPr>
              <w:pStyle w:val="TableParagraph"/>
              <w:rPr>
                <w:rFonts w:ascii="Times New Roman"/>
                <w:sz w:val="18"/>
              </w:rPr>
            </w:pPr>
          </w:p>
        </w:tc>
        <w:tc>
          <w:tcPr>
            <w:tcW w:w="1694" w:type="dxa"/>
            <w:tcBorders>
              <w:top w:val="single" w:sz="4" w:space="0" w:color="000000"/>
            </w:tcBorders>
          </w:tcPr>
          <w:p>
            <w:pPr>
              <w:pStyle w:val="TableParagraph"/>
              <w:spacing w:line="219" w:lineRule="exact"/>
              <w:ind w:left="117"/>
              <w:rPr>
                <w:sz w:val="18"/>
              </w:rPr>
            </w:pPr>
            <w:r>
              <w:rPr>
                <w:i/>
                <w:sz w:val="18"/>
              </w:rPr>
              <w:t>Plasmodium </w:t>
            </w:r>
            <w:r>
              <w:rPr>
                <w:sz w:val="18"/>
              </w:rPr>
              <w:t>spp.</w:t>
            </w:r>
          </w:p>
        </w:tc>
        <w:tc>
          <w:tcPr>
            <w:tcW w:w="1875" w:type="dxa"/>
            <w:tcBorders>
              <w:top w:val="single" w:sz="4" w:space="0" w:color="000000"/>
            </w:tcBorders>
          </w:tcPr>
          <w:p>
            <w:pPr>
              <w:pStyle w:val="TableParagraph"/>
              <w:ind w:left="122" w:right="263"/>
              <w:rPr>
                <w:sz w:val="18"/>
              </w:rPr>
            </w:pPr>
            <w:r>
              <w:rPr>
                <w:sz w:val="18"/>
              </w:rPr>
              <w:t>For diagnosis of one or more human malaria species</w:t>
            </w:r>
          </w:p>
          <w:p>
            <w:pPr>
              <w:pStyle w:val="TableParagraph"/>
              <w:spacing w:line="219" w:lineRule="exact"/>
              <w:ind w:left="122"/>
              <w:rPr>
                <w:i/>
                <w:sz w:val="18"/>
              </w:rPr>
            </w:pPr>
            <w:r>
              <w:rPr>
                <w:sz w:val="18"/>
              </w:rPr>
              <w:t>(</w:t>
            </w:r>
            <w:r>
              <w:rPr>
                <w:i/>
                <w:sz w:val="18"/>
              </w:rPr>
              <w:t>P. falciparum,</w:t>
            </w:r>
          </w:p>
          <w:p>
            <w:pPr>
              <w:pStyle w:val="TableParagraph"/>
              <w:spacing w:line="219" w:lineRule="exact"/>
              <w:ind w:left="122"/>
              <w:rPr>
                <w:i/>
                <w:sz w:val="18"/>
              </w:rPr>
            </w:pPr>
            <w:r>
              <w:rPr>
                <w:i/>
                <w:sz w:val="18"/>
              </w:rPr>
              <w:t>P. vivax, P.</w:t>
            </w:r>
            <w:r>
              <w:rPr>
                <w:i/>
                <w:spacing w:val="-9"/>
                <w:sz w:val="18"/>
              </w:rPr>
              <w:t> </w:t>
            </w:r>
            <w:r>
              <w:rPr>
                <w:i/>
                <w:sz w:val="18"/>
              </w:rPr>
              <w:t>malariae,</w:t>
            </w:r>
          </w:p>
          <w:p>
            <w:pPr>
              <w:pStyle w:val="TableParagraph"/>
              <w:spacing w:before="1"/>
              <w:ind w:left="122" w:right="103"/>
              <w:rPr>
                <w:sz w:val="18"/>
              </w:rPr>
            </w:pPr>
            <w:r>
              <w:rPr>
                <w:i/>
                <w:sz w:val="18"/>
              </w:rPr>
              <w:t>P. ovale </w:t>
            </w:r>
            <w:r>
              <w:rPr>
                <w:sz w:val="18"/>
              </w:rPr>
              <w:t>and </w:t>
            </w:r>
            <w:r>
              <w:rPr>
                <w:i/>
                <w:sz w:val="18"/>
              </w:rPr>
              <w:t>P. </w:t>
            </w:r>
            <w:r>
              <w:rPr>
                <w:i/>
                <w:sz w:val="18"/>
              </w:rPr>
              <w:t>knowlesi</w:t>
            </w:r>
            <w:r>
              <w:rPr>
                <w:sz w:val="18"/>
              </w:rPr>
              <w:t>) and monitoring</w:t>
            </w:r>
            <w:r>
              <w:rPr>
                <w:spacing w:val="5"/>
                <w:sz w:val="18"/>
              </w:rPr>
              <w:t> </w:t>
            </w:r>
            <w:r>
              <w:rPr>
                <w:spacing w:val="-3"/>
                <w:sz w:val="18"/>
              </w:rPr>
              <w:t>response</w:t>
            </w:r>
          </w:p>
          <w:p>
            <w:pPr>
              <w:pStyle w:val="TableParagraph"/>
              <w:spacing w:line="201" w:lineRule="exact" w:before="1"/>
              <w:ind w:left="122"/>
              <w:rPr>
                <w:sz w:val="18"/>
              </w:rPr>
            </w:pPr>
            <w:r>
              <w:rPr>
                <w:sz w:val="18"/>
              </w:rPr>
              <w:t>to treatment</w:t>
            </w:r>
          </w:p>
        </w:tc>
        <w:tc>
          <w:tcPr>
            <w:tcW w:w="1104" w:type="dxa"/>
          </w:tcPr>
          <w:p>
            <w:pPr>
              <w:pStyle w:val="TableParagraph"/>
              <w:ind w:left="125" w:right="122"/>
              <w:rPr>
                <w:sz w:val="18"/>
              </w:rPr>
            </w:pPr>
            <w:r>
              <w:rPr>
                <w:sz w:val="18"/>
              </w:rPr>
              <w:t>Light microscopy (if good quality microscopy available)</w:t>
            </w:r>
          </w:p>
        </w:tc>
        <w:tc>
          <w:tcPr>
            <w:tcW w:w="2148" w:type="dxa"/>
          </w:tcPr>
          <w:p>
            <w:pPr>
              <w:pStyle w:val="TableParagraph"/>
              <w:spacing w:line="219" w:lineRule="exact"/>
              <w:ind w:left="122"/>
              <w:rPr>
                <w:sz w:val="18"/>
              </w:rPr>
            </w:pPr>
            <w:r>
              <w:rPr>
                <w:sz w:val="18"/>
              </w:rPr>
              <w:t>Capillary whole blood</w:t>
            </w:r>
          </w:p>
        </w:tc>
        <w:tc>
          <w:tcPr>
            <w:tcW w:w="1982" w:type="dxa"/>
            <w:tcBorders>
              <w:top w:val="single" w:sz="4" w:space="0" w:color="000000"/>
            </w:tcBorders>
          </w:tcPr>
          <w:p>
            <w:pPr>
              <w:pStyle w:val="TableParagraph"/>
              <w:spacing w:line="219" w:lineRule="exact"/>
              <w:ind w:left="118"/>
              <w:rPr>
                <w:sz w:val="18"/>
              </w:rPr>
            </w:pPr>
            <w:r>
              <w:rPr>
                <w:sz w:val="18"/>
              </w:rPr>
              <w:t>N/A</w:t>
            </w:r>
          </w:p>
        </w:tc>
        <w:tc>
          <w:tcPr>
            <w:tcW w:w="4234" w:type="dxa"/>
            <w:tcBorders>
              <w:top w:val="single" w:sz="4" w:space="0" w:color="000000"/>
              <w:right w:val="single" w:sz="12" w:space="0" w:color="000000"/>
            </w:tcBorders>
          </w:tcPr>
          <w:p>
            <w:pPr>
              <w:pStyle w:val="TableParagraph"/>
              <w:ind w:left="121" w:right="102"/>
              <w:rPr>
                <w:sz w:val="18"/>
              </w:rPr>
            </w:pPr>
            <w:r>
              <w:rPr>
                <w:sz w:val="18"/>
              </w:rPr>
              <w:t>WHO guidelines for the treatment of malaria, third edition (2015) </w:t>
            </w:r>
            <w:hyperlink r:id="rId99">
              <w:r>
                <w:rPr>
                  <w:color w:val="0462C1"/>
                  <w:sz w:val="18"/>
                  <w:u w:val="single" w:color="0462C1"/>
                </w:rPr>
                <w:t>http://apps.who.int/iris/bitstream/10665/162441/1/9</w:t>
              </w:r>
            </w:hyperlink>
            <w:r>
              <w:rPr>
                <w:color w:val="0462C1"/>
                <w:sz w:val="18"/>
              </w:rPr>
              <w:t> </w:t>
            </w:r>
            <w:hyperlink r:id="rId99">
              <w:r>
                <w:rPr>
                  <w:color w:val="0462C1"/>
                  <w:sz w:val="18"/>
                  <w:u w:val="single" w:color="0462C1"/>
                </w:rPr>
                <w:t>789241549127_eng.pdf</w:t>
              </w:r>
            </w:hyperlink>
          </w:p>
          <w:p>
            <w:pPr>
              <w:pStyle w:val="TableParagraph"/>
              <w:spacing w:before="1"/>
              <w:rPr>
                <w:rFonts w:ascii="Times New Roman"/>
                <w:sz w:val="19"/>
              </w:rPr>
            </w:pPr>
          </w:p>
          <w:p>
            <w:pPr>
              <w:pStyle w:val="TableParagraph"/>
              <w:ind w:left="121" w:right="105"/>
              <w:jc w:val="both"/>
              <w:rPr>
                <w:sz w:val="18"/>
              </w:rPr>
            </w:pPr>
            <w:r>
              <w:rPr>
                <w:sz w:val="18"/>
              </w:rPr>
              <w:t>Basic malaria microscopy Part I: Learner’s guide (2010) </w:t>
            </w:r>
            <w:hyperlink r:id="rId102">
              <w:r>
                <w:rPr>
                  <w:color w:val="0462C1"/>
                  <w:sz w:val="18"/>
                  <w:u w:val="single" w:color="0462C1"/>
                </w:rPr>
                <w:t>http://apps.who.int/iris/bitstream/handle/10665/442</w:t>
              </w:r>
            </w:hyperlink>
            <w:r>
              <w:rPr>
                <w:color w:val="0462C1"/>
                <w:sz w:val="18"/>
              </w:rPr>
              <w:t> </w:t>
            </w:r>
            <w:hyperlink r:id="rId102">
              <w:r>
                <w:rPr>
                  <w:color w:val="0462C1"/>
                  <w:sz w:val="18"/>
                  <w:u w:val="single" w:color="0462C1"/>
                </w:rPr>
                <w:t>08/9789241547826_eng.pdf?sequence=1</w:t>
              </w:r>
            </w:hyperlink>
          </w:p>
        </w:tc>
      </w:tr>
      <w:tr>
        <w:trPr>
          <w:trHeight w:val="849" w:hRule="atLeast"/>
        </w:trPr>
        <w:tc>
          <w:tcPr>
            <w:tcW w:w="994" w:type="dxa"/>
            <w:vMerge/>
            <w:tcBorders>
              <w:top w:val="nil"/>
              <w:left w:val="single" w:sz="12" w:space="0" w:color="000000"/>
              <w:bottom w:val="single" w:sz="12" w:space="0" w:color="000000"/>
            </w:tcBorders>
          </w:tcPr>
          <w:p>
            <w:pPr>
              <w:rPr>
                <w:sz w:val="2"/>
                <w:szCs w:val="2"/>
              </w:rPr>
            </w:pPr>
          </w:p>
        </w:tc>
        <w:tc>
          <w:tcPr>
            <w:tcW w:w="1694" w:type="dxa"/>
            <w:tcBorders>
              <w:bottom w:val="single" w:sz="12" w:space="0" w:color="000000"/>
            </w:tcBorders>
          </w:tcPr>
          <w:p>
            <w:pPr>
              <w:pStyle w:val="TableParagraph"/>
              <w:rPr>
                <w:rFonts w:ascii="Times New Roman"/>
                <w:sz w:val="18"/>
              </w:rPr>
            </w:pPr>
          </w:p>
        </w:tc>
        <w:tc>
          <w:tcPr>
            <w:tcW w:w="1875" w:type="dxa"/>
            <w:tcBorders>
              <w:bottom w:val="single" w:sz="12" w:space="0" w:color="000000"/>
            </w:tcBorders>
          </w:tcPr>
          <w:p>
            <w:pPr>
              <w:pStyle w:val="TableParagraph"/>
              <w:rPr>
                <w:rFonts w:ascii="Times New Roman"/>
                <w:sz w:val="18"/>
              </w:rPr>
            </w:pPr>
          </w:p>
        </w:tc>
        <w:tc>
          <w:tcPr>
            <w:tcW w:w="1104" w:type="dxa"/>
            <w:tcBorders>
              <w:bottom w:val="single" w:sz="12" w:space="0" w:color="000000"/>
            </w:tcBorders>
          </w:tcPr>
          <w:p>
            <w:pPr>
              <w:pStyle w:val="TableParagraph"/>
              <w:rPr>
                <w:rFonts w:ascii="Times New Roman"/>
                <w:sz w:val="18"/>
              </w:rPr>
            </w:pPr>
          </w:p>
        </w:tc>
        <w:tc>
          <w:tcPr>
            <w:tcW w:w="2148" w:type="dxa"/>
            <w:tcBorders>
              <w:bottom w:val="single" w:sz="12" w:space="0" w:color="000000"/>
            </w:tcBorders>
          </w:tcPr>
          <w:p>
            <w:pPr>
              <w:pStyle w:val="TableParagraph"/>
              <w:rPr>
                <w:rFonts w:ascii="Times New Roman"/>
                <w:sz w:val="18"/>
              </w:rPr>
            </w:pPr>
          </w:p>
        </w:tc>
        <w:tc>
          <w:tcPr>
            <w:tcW w:w="1982" w:type="dxa"/>
            <w:tcBorders>
              <w:bottom w:val="single" w:sz="12" w:space="0" w:color="000000"/>
            </w:tcBorders>
          </w:tcPr>
          <w:p>
            <w:pPr>
              <w:pStyle w:val="TableParagraph"/>
              <w:rPr>
                <w:rFonts w:ascii="Times New Roman"/>
                <w:sz w:val="18"/>
              </w:rPr>
            </w:pPr>
          </w:p>
        </w:tc>
        <w:tc>
          <w:tcPr>
            <w:tcW w:w="4234" w:type="dxa"/>
            <w:tcBorders>
              <w:bottom w:val="single" w:sz="12" w:space="0" w:color="000000"/>
              <w:right w:val="single" w:sz="12" w:space="0" w:color="000000"/>
            </w:tcBorders>
          </w:tcPr>
          <w:p>
            <w:pPr>
              <w:pStyle w:val="TableParagraph"/>
              <w:spacing w:line="188" w:lineRule="exact"/>
              <w:ind w:left="121"/>
              <w:rPr>
                <w:sz w:val="18"/>
              </w:rPr>
            </w:pPr>
            <w:r>
              <w:rPr>
                <w:sz w:val="18"/>
              </w:rPr>
              <w:t>Malaria microscopy standard operating procedures</w:t>
            </w:r>
          </w:p>
          <w:p>
            <w:pPr>
              <w:pStyle w:val="TableParagraph"/>
              <w:spacing w:line="219" w:lineRule="exact" w:before="1"/>
              <w:ind w:left="121"/>
              <w:rPr>
                <w:sz w:val="18"/>
              </w:rPr>
            </w:pPr>
            <w:r>
              <w:rPr>
                <w:sz w:val="18"/>
              </w:rPr>
              <w:t>(2015)</w:t>
            </w:r>
          </w:p>
          <w:p>
            <w:pPr>
              <w:pStyle w:val="TableParagraph"/>
              <w:spacing w:line="219" w:lineRule="exact"/>
              <w:ind w:left="121"/>
              <w:rPr>
                <w:sz w:val="18"/>
              </w:rPr>
            </w:pPr>
            <w:hyperlink r:id="rId103">
              <w:r>
                <w:rPr>
                  <w:color w:val="0462C1"/>
                  <w:sz w:val="18"/>
                  <w:u w:val="single" w:color="0462C1"/>
                </w:rPr>
                <w:t>http://www.wpro.who.int/mvp/lab_quality/mm_sop/</w:t>
              </w:r>
            </w:hyperlink>
          </w:p>
          <w:p>
            <w:pPr>
              <w:pStyle w:val="TableParagraph"/>
              <w:spacing w:line="202" w:lineRule="exact" w:before="1"/>
              <w:ind w:left="121"/>
              <w:rPr>
                <w:sz w:val="18"/>
              </w:rPr>
            </w:pPr>
            <w:hyperlink r:id="rId103">
              <w:r>
                <w:rPr>
                  <w:color w:val="0462C1"/>
                  <w:sz w:val="18"/>
                  <w:u w:val="single" w:color="0462C1"/>
                </w:rPr>
                <w:t>en/</w:t>
              </w:r>
            </w:hyperlink>
          </w:p>
        </w:tc>
      </w:tr>
    </w:tbl>
    <w:p>
      <w:pPr>
        <w:spacing w:after="0" w:line="202" w:lineRule="exact"/>
        <w:rPr>
          <w:sz w:val="18"/>
        </w:rPr>
        <w:sectPr>
          <w:headerReference w:type="default" r:id="rId87"/>
          <w:footerReference w:type="default" r:id="rId88"/>
          <w:pgSz w:w="16840" w:h="11910" w:orient="landscape"/>
          <w:pgMar w:header="0" w:footer="495" w:top="1100" w:bottom="680" w:left="1180" w:right="920"/>
          <w:pgNumType w:start="13"/>
        </w:sectPr>
      </w:pPr>
    </w:p>
    <w:p>
      <w:pPr>
        <w:pStyle w:val="BodyText"/>
        <w:rPr>
          <w:rFonts w:ascii="Times New Roman"/>
          <w:sz w:val="20"/>
        </w:rPr>
      </w:pPr>
      <w:r>
        <w:rPr/>
        <w:pict>
          <v:group style="position:absolute;margin-left:129.380005pt;margin-top:122.180008pt;width:.5pt;height:325.05pt;mso-position-horizontal-relative:page;mso-position-vertical-relative:page;z-index:-124144" coordorigin="2588,2444" coordsize="10,6501">
            <v:shape style="position:absolute;left:2587;top:2443;width:10;height:978" type="#_x0000_t75" stroked="false">
              <v:imagedata r:id="rId106" o:title=""/>
            </v:shape>
            <v:shape style="position:absolute;left:2587;top:3421;width:10;height:5524" type="#_x0000_t75" stroked="false">
              <v:imagedata r:id="rId107" o:title=""/>
            </v:shape>
            <w10:wrap type="none"/>
          </v:group>
        </w:pict>
      </w:r>
      <w:r>
        <w:rPr/>
        <w:pict>
          <v:group style="position:absolute;margin-left:199.339996pt;margin-top:122.180008pt;width:.5pt;height:126.15pt;mso-position-horizontal-relative:page;mso-position-vertical-relative:page;z-index:-124120" coordorigin="3987,2444" coordsize="10,2523">
            <v:shape style="position:absolute;left:3986;top:2443;width:10;height:978" type="#_x0000_t75" stroked="false">
              <v:imagedata r:id="rId106" o:title=""/>
            </v:shape>
            <v:shape style="position:absolute;left:3986;top:3421;width:10;height:10" type="#_x0000_t75" stroked="false">
              <v:imagedata r:id="rId61" o:title=""/>
            </v:shape>
            <v:shape style="position:absolute;left:3986;top:3430;width:10;height:1536" type="#_x0000_t75" stroked="false">
              <v:imagedata r:id="rId108" o:title=""/>
            </v:shape>
            <w10:wrap type="none"/>
          </v:group>
        </w:pict>
      </w:r>
      <w:r>
        <w:rPr/>
        <w:pict>
          <v:group style="position:absolute;margin-left:348.290009pt;margin-top:122.180008pt;width:80.45pt;height:325.05pt;mso-position-horizontal-relative:page;mso-position-vertical-relative:page;z-index:-124096" coordorigin="6966,2444" coordsize="1609,6501">
            <v:shape style="position:absolute;left:6965;top:2443;width:10;height:978" type="#_x0000_t75" stroked="false">
              <v:imagedata r:id="rId106" o:title=""/>
            </v:shape>
            <v:shape style="position:absolute;left:6965;top:3421;width:10;height:10" type="#_x0000_t75" stroked="false">
              <v:imagedata r:id="rId61" o:title=""/>
            </v:shape>
            <v:shape style="position:absolute;left:6965;top:3430;width:10;height:1536" type="#_x0000_t75" stroked="false">
              <v:imagedata r:id="rId108" o:title=""/>
            </v:shape>
            <v:shape style="position:absolute;left:8564;top:2443;width:10;height:978" type="#_x0000_t75" stroked="false">
              <v:imagedata r:id="rId106" o:title=""/>
            </v:shape>
            <v:shape style="position:absolute;left:8564;top:3421;width:10;height:10" type="#_x0000_t75" stroked="false">
              <v:imagedata r:id="rId61" o:title=""/>
            </v:shape>
            <v:shape style="position:absolute;left:6965;top:3430;width:1609;height:1548" type="#_x0000_t75" stroked="false">
              <v:imagedata r:id="rId109" o:title=""/>
            </v:shape>
            <v:shape style="position:absolute;left:6965;top:4985;width:10;height:1750" type="#_x0000_t75" stroked="false">
              <v:imagedata r:id="rId110" o:title=""/>
            </v:shape>
            <v:shape style="position:absolute;left:8564;top:4985;width:10;height:1750" type="#_x0000_t75" stroked="false">
              <v:imagedata r:id="rId110" o:title=""/>
            </v:shape>
            <v:shape style="position:absolute;left:6965;top:6735;width:10;height:10" type="#_x0000_t75" stroked="false">
              <v:imagedata r:id="rId61" o:title=""/>
            </v:shape>
            <v:shape style="position:absolute;left:8564;top:6735;width:10;height:10" type="#_x0000_t75" stroked="false">
              <v:imagedata r:id="rId61" o:title=""/>
            </v:shape>
            <v:shape style="position:absolute;left:6965;top:6745;width:10;height:2199" type="#_x0000_t75" stroked="false">
              <v:imagedata r:id="rId111" o:title=""/>
            </v:shape>
            <v:shape style="position:absolute;left:8564;top:6745;width:10;height:2199" type="#_x0000_t75" stroked="false">
              <v:imagedata r:id="rId111" o:title=""/>
            </v:shape>
            <w10:wrap type="none"/>
          </v:group>
        </w:pict>
      </w:r>
      <w:r>
        <w:rPr/>
        <w:pict>
          <v:group style="position:absolute;margin-left:554.710022pt;margin-top:122.180008pt;width:.5pt;height:325.05pt;mso-position-horizontal-relative:page;mso-position-vertical-relative:page;z-index:-124072" coordorigin="11094,2444" coordsize="10,6501">
            <v:shape style="position:absolute;left:11094;top:2443;width:10;height:978" type="#_x0000_t75" stroked="false">
              <v:imagedata r:id="rId106" o:title=""/>
            </v:shape>
            <v:shape style="position:absolute;left:11094;top:3421;width:10;height:10" type="#_x0000_t75" stroked="false">
              <v:imagedata r:id="rId61" o:title=""/>
            </v:shape>
            <v:shape style="position:absolute;left:11094;top:3430;width:10;height:1536" type="#_x0000_t75" stroked="false">
              <v:imagedata r:id="rId108" o:title=""/>
            </v:shape>
            <v:shape style="position:absolute;left:11094;top:4969;width:10;height:1767" type="#_x0000_t75" stroked="false">
              <v:imagedata r:id="rId112" o:title=""/>
            </v:shape>
            <v:shape style="position:absolute;left:11094;top:6735;width:10;height:2209" type="#_x0000_t75" stroked="false">
              <v:imagedata r:id="rId113" o:title=""/>
            </v:shape>
            <w10:wrap type="none"/>
          </v:group>
        </w:pict>
      </w:r>
      <w:r>
        <w:rPr/>
        <w:pict>
          <v:group style="position:absolute;margin-left:284.450012pt;margin-top:122.180008pt;width:.5pt;height:325.05pt;mso-position-horizontal-relative:page;mso-position-vertical-relative:page;z-index:-124048" coordorigin="5689,2444" coordsize="10,6501">
            <v:shape style="position:absolute;left:5689;top:2443;width:10;height:987" type="#_x0000_t75" stroked="false">
              <v:imagedata r:id="rId114" o:title=""/>
            </v:shape>
            <v:shape style="position:absolute;left:5689;top:3430;width:10;height:1548" type="#_x0000_t75" stroked="false">
              <v:imagedata r:id="rId115" o:title=""/>
            </v:shape>
            <v:shape style="position:absolute;left:5689;top:4985;width:10;height:1760" type="#_x0000_t75" stroked="false">
              <v:imagedata r:id="rId116" o:title=""/>
            </v:shape>
            <v:shape style="position:absolute;left:5689;top:6745;width:10;height:2199" type="#_x0000_t75" stroked="false">
              <v:imagedata r:id="rId111" o:title=""/>
            </v:shape>
            <w10:wrap type="none"/>
          </v:group>
        </w:pict>
      </w:r>
      <w:r>
        <w:rPr/>
        <w:pict>
          <v:line style="position:absolute;mso-position-horizontal-relative:page;mso-position-vertical-relative:page;z-index:-124024" from="433.869995pt,335.649994pt" to="514.029995pt,335.649994pt" stroked="true" strokeweight=".600010pt" strokecolor="#0462c1">
            <v:stroke dashstyle="solid"/>
            <w10:wrap type="none"/>
          </v:line>
        </w:pict>
      </w:r>
      <w:r>
        <w:rPr/>
        <w:pict>
          <v:group style="position:absolute;margin-left:199.339996pt;margin-top:249.290085pt;width:.5pt;height:197.95pt;mso-position-horizontal-relative:page;mso-position-vertical-relative:page;z-index:-124000" coordorigin="3987,4986" coordsize="10,3959">
            <v:shape style="position:absolute;left:3986;top:4985;width:10;height:1750" type="#_x0000_t75" stroked="false">
              <v:imagedata r:id="rId110" o:title=""/>
            </v:shape>
            <v:shape style="position:absolute;left:3986;top:6735;width:10;height:10" type="#_x0000_t75" stroked="false">
              <v:imagedata r:id="rId61" o:title=""/>
            </v:shape>
            <v:shape style="position:absolute;left:3986;top:6745;width:10;height:2199" type="#_x0000_t75" stroked="false">
              <v:imagedata r:id="rId111" o:title=""/>
            </v:shape>
            <w10:wrap type="none"/>
          </v:group>
        </w:pict>
      </w:r>
    </w:p>
    <w:p>
      <w:pPr>
        <w:pStyle w:val="BodyText"/>
        <w:rPr>
          <w:rFonts w:ascii="Times New Roman"/>
          <w:sz w:val="20"/>
        </w:rPr>
      </w:pPr>
    </w:p>
    <w:p>
      <w:pPr>
        <w:pStyle w:val="BodyText"/>
        <w:spacing w:after="1"/>
        <w:rPr>
          <w:rFonts w:ascii="Times New Roman"/>
          <w:sz w:val="28"/>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6"/>
        <w:gridCol w:w="1394"/>
        <w:gridCol w:w="1702"/>
        <w:gridCol w:w="1274"/>
        <w:gridCol w:w="1602"/>
        <w:gridCol w:w="2526"/>
        <w:gridCol w:w="4381"/>
      </w:tblGrid>
      <w:tr>
        <w:trPr>
          <w:trHeight w:val="515" w:hRule="atLeast"/>
        </w:trPr>
        <w:tc>
          <w:tcPr>
            <w:tcW w:w="14135" w:type="dxa"/>
            <w:gridSpan w:val="7"/>
            <w:tcBorders>
              <w:top w:val="single" w:sz="12" w:space="0" w:color="000000"/>
              <w:left w:val="single" w:sz="12" w:space="0" w:color="000000"/>
              <w:bottom w:val="single" w:sz="4" w:space="0" w:color="000000"/>
              <w:right w:val="single" w:sz="12" w:space="0" w:color="000000"/>
            </w:tcBorders>
            <w:shd w:val="clear" w:color="auto" w:fill="E7E6E6"/>
          </w:tcPr>
          <w:p>
            <w:pPr>
              <w:pStyle w:val="TableParagraph"/>
              <w:spacing w:before="1"/>
              <w:ind w:left="107"/>
              <w:rPr>
                <w:b/>
                <w:sz w:val="24"/>
              </w:rPr>
            </w:pPr>
            <w:r>
              <w:rPr>
                <w:b/>
                <w:sz w:val="24"/>
              </w:rPr>
              <w:t>I.b Disease-specific IVDs for primary health care</w:t>
            </w:r>
          </w:p>
        </w:tc>
      </w:tr>
      <w:tr>
        <w:trPr>
          <w:trHeight w:val="976" w:hRule="atLeast"/>
        </w:trPr>
        <w:tc>
          <w:tcPr>
            <w:tcW w:w="1256" w:type="dxa"/>
            <w:tcBorders>
              <w:top w:val="single" w:sz="4" w:space="0" w:color="000000"/>
              <w:left w:val="single" w:sz="12" w:space="0" w:color="000000"/>
              <w:bottom w:val="single" w:sz="4" w:space="0" w:color="000000"/>
            </w:tcBorders>
            <w:shd w:val="clear" w:color="auto" w:fill="E7E6E6"/>
          </w:tcPr>
          <w:p>
            <w:pPr>
              <w:pStyle w:val="TableParagraph"/>
              <w:rPr>
                <w:rFonts w:ascii="Times New Roman"/>
                <w:sz w:val="16"/>
              </w:rPr>
            </w:pPr>
          </w:p>
        </w:tc>
        <w:tc>
          <w:tcPr>
            <w:tcW w:w="1394" w:type="dxa"/>
            <w:tcBorders>
              <w:top w:val="single" w:sz="4" w:space="0" w:color="000000"/>
              <w:bottom w:val="single" w:sz="4" w:space="0" w:color="000000"/>
            </w:tcBorders>
            <w:shd w:val="clear" w:color="auto" w:fill="E7E6E6"/>
          </w:tcPr>
          <w:p>
            <w:pPr>
              <w:pStyle w:val="TableParagraph"/>
              <w:spacing w:line="194" w:lineRule="exact"/>
              <w:ind w:left="117"/>
              <w:rPr>
                <w:b/>
                <w:sz w:val="16"/>
              </w:rPr>
            </w:pPr>
            <w:r>
              <w:rPr>
                <w:b/>
                <w:sz w:val="16"/>
              </w:rPr>
              <w:t>Diagnostic test</w:t>
            </w:r>
          </w:p>
        </w:tc>
        <w:tc>
          <w:tcPr>
            <w:tcW w:w="1702" w:type="dxa"/>
            <w:tcBorders>
              <w:top w:val="single" w:sz="4" w:space="0" w:color="000000"/>
              <w:bottom w:val="single" w:sz="4" w:space="0" w:color="000000"/>
            </w:tcBorders>
            <w:shd w:val="clear" w:color="auto" w:fill="E7E6E6"/>
          </w:tcPr>
          <w:p>
            <w:pPr>
              <w:pStyle w:val="TableParagraph"/>
              <w:spacing w:line="194" w:lineRule="exact"/>
              <w:ind w:left="122"/>
              <w:rPr>
                <w:b/>
                <w:sz w:val="16"/>
              </w:rPr>
            </w:pPr>
            <w:r>
              <w:rPr>
                <w:b/>
                <w:sz w:val="16"/>
              </w:rPr>
              <w:t>Test purpose</w:t>
            </w:r>
          </w:p>
        </w:tc>
        <w:tc>
          <w:tcPr>
            <w:tcW w:w="1274" w:type="dxa"/>
            <w:tcBorders>
              <w:top w:val="single" w:sz="4" w:space="0" w:color="000000"/>
              <w:bottom w:val="single" w:sz="4" w:space="0" w:color="000000"/>
            </w:tcBorders>
            <w:shd w:val="clear" w:color="auto" w:fill="E7E6E6"/>
          </w:tcPr>
          <w:p>
            <w:pPr>
              <w:pStyle w:val="TableParagraph"/>
              <w:spacing w:line="194" w:lineRule="exact"/>
              <w:ind w:left="122"/>
              <w:rPr>
                <w:b/>
                <w:sz w:val="16"/>
              </w:rPr>
            </w:pPr>
            <w:r>
              <w:rPr>
                <w:b/>
                <w:sz w:val="16"/>
              </w:rPr>
              <w:t>Assay format</w:t>
            </w:r>
          </w:p>
        </w:tc>
        <w:tc>
          <w:tcPr>
            <w:tcW w:w="1602" w:type="dxa"/>
            <w:tcBorders>
              <w:top w:val="single" w:sz="4" w:space="0" w:color="000000"/>
              <w:bottom w:val="single" w:sz="4" w:space="0" w:color="000000"/>
            </w:tcBorders>
            <w:shd w:val="clear" w:color="auto" w:fill="E7E6E6"/>
          </w:tcPr>
          <w:p>
            <w:pPr>
              <w:pStyle w:val="TableParagraph"/>
              <w:spacing w:line="194" w:lineRule="exact"/>
              <w:ind w:left="125"/>
              <w:rPr>
                <w:b/>
                <w:sz w:val="16"/>
              </w:rPr>
            </w:pPr>
            <w:r>
              <w:rPr>
                <w:b/>
                <w:sz w:val="16"/>
              </w:rPr>
              <w:t>Specimen type</w:t>
            </w:r>
          </w:p>
        </w:tc>
        <w:tc>
          <w:tcPr>
            <w:tcW w:w="2526" w:type="dxa"/>
            <w:tcBorders>
              <w:top w:val="single" w:sz="4" w:space="0" w:color="000000"/>
              <w:bottom w:val="single" w:sz="4" w:space="0" w:color="000000"/>
            </w:tcBorders>
            <w:shd w:val="clear" w:color="auto" w:fill="E7E6E6"/>
          </w:tcPr>
          <w:p>
            <w:pPr>
              <w:pStyle w:val="TableParagraph"/>
              <w:ind w:left="122" w:right="344"/>
              <w:rPr>
                <w:b/>
                <w:sz w:val="16"/>
              </w:rPr>
            </w:pPr>
            <w:r>
              <w:rPr>
                <w:b/>
                <w:sz w:val="16"/>
              </w:rPr>
              <w:t>WHO prequalified or endorsed products</w:t>
            </w:r>
          </w:p>
          <w:p>
            <w:pPr>
              <w:pStyle w:val="TableParagraph"/>
              <w:ind w:left="122" w:right="193"/>
              <w:rPr>
                <w:sz w:val="16"/>
              </w:rPr>
            </w:pPr>
            <w:r>
              <w:rPr>
                <w:sz w:val="16"/>
              </w:rPr>
              <w:t>(all TB tests are evaluated and guidelines developed through the</w:t>
            </w:r>
          </w:p>
          <w:p>
            <w:pPr>
              <w:pStyle w:val="TableParagraph"/>
              <w:spacing w:line="178" w:lineRule="exact"/>
              <w:ind w:left="122"/>
              <w:rPr>
                <w:sz w:val="16"/>
              </w:rPr>
            </w:pPr>
            <w:r>
              <w:rPr>
                <w:sz w:val="16"/>
              </w:rPr>
              <w:t>WHO Global TB Programme)</w:t>
            </w:r>
          </w:p>
        </w:tc>
        <w:tc>
          <w:tcPr>
            <w:tcW w:w="4381" w:type="dxa"/>
            <w:tcBorders>
              <w:top w:val="single" w:sz="4" w:space="0" w:color="000000"/>
              <w:bottom w:val="single" w:sz="4" w:space="0" w:color="000000"/>
              <w:right w:val="single" w:sz="12" w:space="0" w:color="000000"/>
            </w:tcBorders>
            <w:shd w:val="clear" w:color="auto" w:fill="E7E6E6"/>
          </w:tcPr>
          <w:p>
            <w:pPr>
              <w:pStyle w:val="TableParagraph"/>
              <w:spacing w:line="194" w:lineRule="exact"/>
              <w:ind w:left="126"/>
              <w:rPr>
                <w:b/>
                <w:sz w:val="16"/>
              </w:rPr>
            </w:pPr>
            <w:r>
              <w:rPr>
                <w:b/>
                <w:sz w:val="16"/>
              </w:rPr>
              <w:t>WHO supporting documents</w:t>
            </w:r>
          </w:p>
        </w:tc>
      </w:tr>
      <w:tr>
        <w:trPr>
          <w:trHeight w:val="1223" w:hRule="atLeast"/>
        </w:trPr>
        <w:tc>
          <w:tcPr>
            <w:tcW w:w="1256" w:type="dxa"/>
            <w:tcBorders>
              <w:top w:val="single" w:sz="4" w:space="0" w:color="000000"/>
              <w:left w:val="single" w:sz="12" w:space="0" w:color="000000"/>
            </w:tcBorders>
          </w:tcPr>
          <w:p>
            <w:pPr>
              <w:pStyle w:val="TableParagraph"/>
              <w:spacing w:line="219" w:lineRule="exact"/>
              <w:ind w:left="107"/>
              <w:rPr>
                <w:sz w:val="18"/>
              </w:rPr>
            </w:pPr>
            <w:r>
              <w:rPr>
                <w:sz w:val="18"/>
              </w:rPr>
              <w:t>Tuberculosis</w:t>
            </w:r>
          </w:p>
        </w:tc>
        <w:tc>
          <w:tcPr>
            <w:tcW w:w="1394" w:type="dxa"/>
            <w:tcBorders>
              <w:top w:val="single" w:sz="4" w:space="0" w:color="000000"/>
            </w:tcBorders>
          </w:tcPr>
          <w:p>
            <w:pPr>
              <w:pStyle w:val="TableParagraph"/>
              <w:ind w:left="117" w:right="111"/>
              <w:rPr>
                <w:sz w:val="18"/>
              </w:rPr>
            </w:pPr>
            <w:r>
              <w:rPr>
                <w:i/>
                <w:sz w:val="18"/>
              </w:rPr>
              <w:t>Mycobacterium </w:t>
            </w:r>
            <w:r>
              <w:rPr>
                <w:i/>
                <w:sz w:val="18"/>
              </w:rPr>
              <w:t>tuberculosis </w:t>
            </w:r>
            <w:r>
              <w:rPr>
                <w:sz w:val="18"/>
              </w:rPr>
              <w:t>bacteria</w:t>
            </w:r>
          </w:p>
        </w:tc>
        <w:tc>
          <w:tcPr>
            <w:tcW w:w="1702" w:type="dxa"/>
            <w:tcBorders>
              <w:top w:val="single" w:sz="4" w:space="0" w:color="000000"/>
            </w:tcBorders>
          </w:tcPr>
          <w:p>
            <w:pPr>
              <w:pStyle w:val="TableParagraph"/>
              <w:ind w:left="122" w:right="80"/>
              <w:rPr>
                <w:sz w:val="18"/>
              </w:rPr>
            </w:pPr>
            <w:r>
              <w:rPr>
                <w:sz w:val="18"/>
              </w:rPr>
              <w:t>For the diagnosis and treatment monitoring of active TB</w:t>
            </w:r>
          </w:p>
        </w:tc>
        <w:tc>
          <w:tcPr>
            <w:tcW w:w="1274" w:type="dxa"/>
            <w:tcBorders>
              <w:top w:val="single" w:sz="4" w:space="0" w:color="000000"/>
            </w:tcBorders>
          </w:tcPr>
          <w:p>
            <w:pPr>
              <w:pStyle w:val="TableParagraph"/>
              <w:spacing w:line="219" w:lineRule="exact"/>
              <w:ind w:left="122"/>
              <w:rPr>
                <w:sz w:val="18"/>
              </w:rPr>
            </w:pPr>
            <w:r>
              <w:rPr>
                <w:sz w:val="18"/>
              </w:rPr>
              <w:t>Microscopy</w:t>
            </w:r>
          </w:p>
        </w:tc>
        <w:tc>
          <w:tcPr>
            <w:tcW w:w="1602" w:type="dxa"/>
            <w:tcBorders>
              <w:top w:val="single" w:sz="4" w:space="0" w:color="000000"/>
            </w:tcBorders>
          </w:tcPr>
          <w:p>
            <w:pPr>
              <w:pStyle w:val="TableParagraph"/>
              <w:spacing w:line="219" w:lineRule="exact"/>
              <w:ind w:left="125"/>
              <w:rPr>
                <w:sz w:val="18"/>
              </w:rPr>
            </w:pPr>
            <w:r>
              <w:rPr>
                <w:sz w:val="18"/>
              </w:rPr>
              <w:t>Sputum</w:t>
            </w:r>
          </w:p>
        </w:tc>
        <w:tc>
          <w:tcPr>
            <w:tcW w:w="2526" w:type="dxa"/>
            <w:vMerge w:val="restart"/>
            <w:tcBorders>
              <w:top w:val="single" w:sz="4" w:space="0" w:color="000000"/>
            </w:tcBorders>
          </w:tcPr>
          <w:p>
            <w:pPr>
              <w:pStyle w:val="TableParagraph"/>
              <w:ind w:left="122" w:right="206"/>
              <w:rPr>
                <w:sz w:val="18"/>
              </w:rPr>
            </w:pPr>
            <w:r>
              <w:rPr>
                <w:sz w:val="18"/>
              </w:rPr>
              <w:t>Implementing tuberculosis diagnostics: Policy framework (2015)</w:t>
            </w:r>
          </w:p>
          <w:p>
            <w:pPr>
              <w:pStyle w:val="TableParagraph"/>
              <w:ind w:left="122" w:right="102"/>
              <w:rPr>
                <w:sz w:val="18"/>
              </w:rPr>
            </w:pPr>
            <w:hyperlink r:id="rId117">
              <w:r>
                <w:rPr>
                  <w:color w:val="0462C1"/>
                  <w:sz w:val="18"/>
                  <w:u w:val="single" w:color="0462C1"/>
                </w:rPr>
                <w:t>http://apps.who.int/iris/bitstre</w:t>
              </w:r>
            </w:hyperlink>
            <w:r>
              <w:rPr>
                <w:color w:val="0462C1"/>
                <w:sz w:val="18"/>
              </w:rPr>
              <w:t> </w:t>
            </w:r>
            <w:hyperlink r:id="rId117">
              <w:r>
                <w:rPr>
                  <w:color w:val="0462C1"/>
                  <w:sz w:val="18"/>
                  <w:u w:val="single" w:color="0462C1"/>
                </w:rPr>
                <w:t>am/10665/162712/1/9789241</w:t>
              </w:r>
            </w:hyperlink>
          </w:p>
          <w:p>
            <w:pPr>
              <w:pStyle w:val="TableParagraph"/>
              <w:spacing w:line="219" w:lineRule="exact"/>
              <w:ind w:left="122"/>
              <w:rPr>
                <w:sz w:val="18"/>
              </w:rPr>
            </w:pPr>
            <w:hyperlink r:id="rId117">
              <w:r>
                <w:rPr>
                  <w:color w:val="0462C1"/>
                  <w:sz w:val="18"/>
                  <w:u w:val="single" w:color="0462C1"/>
                </w:rPr>
                <w:t>508612_eng.pdf</w:t>
              </w:r>
            </w:hyperlink>
          </w:p>
          <w:p>
            <w:pPr>
              <w:pStyle w:val="TableParagraph"/>
              <w:tabs>
                <w:tab w:pos="2575" w:val="left" w:leader="none"/>
              </w:tabs>
              <w:spacing w:line="201" w:lineRule="exact"/>
              <w:ind w:left="18" w:right="-58"/>
              <w:jc w:val="center"/>
              <w:rPr>
                <w:sz w:val="18"/>
              </w:rPr>
            </w:pPr>
            <w:r>
              <w:rPr>
                <w:sz w:val="18"/>
                <w:u w:val="single"/>
              </w:rPr>
              <w:t> </w:t>
              <w:tab/>
            </w:r>
          </w:p>
        </w:tc>
        <w:tc>
          <w:tcPr>
            <w:tcW w:w="4381" w:type="dxa"/>
            <w:tcBorders>
              <w:top w:val="single" w:sz="4" w:space="0" w:color="000000"/>
              <w:right w:val="single" w:sz="12" w:space="0" w:color="000000"/>
            </w:tcBorders>
          </w:tcPr>
          <w:p>
            <w:pPr>
              <w:pStyle w:val="TableParagraph"/>
              <w:ind w:left="126" w:right="106"/>
              <w:rPr>
                <w:sz w:val="18"/>
              </w:rPr>
            </w:pPr>
            <w:r>
              <w:rPr>
                <w:sz w:val="18"/>
              </w:rPr>
              <w:t>Compendium of WHO guidelines and associated standards: Ensuring optimum delivery of the cascade of care for patients with tuberculosis (2017) </w:t>
            </w:r>
            <w:hyperlink r:id="rId118">
              <w:r>
                <w:rPr>
                  <w:color w:val="0462C1"/>
                  <w:sz w:val="18"/>
                  <w:u w:val="single" w:color="0462C1"/>
                </w:rPr>
                <w:t>http://apps.who.int/iris/bitstream/handle/10665/25918</w:t>
              </w:r>
            </w:hyperlink>
            <w:r>
              <w:rPr>
                <w:color w:val="0462C1"/>
                <w:sz w:val="18"/>
              </w:rPr>
              <w:t> </w:t>
            </w:r>
            <w:hyperlink r:id="rId118">
              <w:r>
                <w:rPr>
                  <w:color w:val="0462C1"/>
                  <w:sz w:val="18"/>
                  <w:u w:val="single" w:color="0462C1"/>
                </w:rPr>
                <w:t>0/9789241512572-eng.pdf?sequence=1</w:t>
              </w:r>
            </w:hyperlink>
          </w:p>
        </w:tc>
      </w:tr>
      <w:tr>
        <w:trPr>
          <w:trHeight w:val="314" w:hRule="atLeast"/>
        </w:trPr>
        <w:tc>
          <w:tcPr>
            <w:tcW w:w="1256" w:type="dxa"/>
            <w:tcBorders>
              <w:left w:val="single" w:sz="12" w:space="0" w:color="000000"/>
            </w:tcBorders>
          </w:tcPr>
          <w:p>
            <w:pPr>
              <w:pStyle w:val="TableParagraph"/>
              <w:rPr>
                <w:rFonts w:ascii="Times New Roman"/>
                <w:sz w:val="16"/>
              </w:rPr>
            </w:pPr>
          </w:p>
        </w:tc>
        <w:tc>
          <w:tcPr>
            <w:tcW w:w="1394" w:type="dxa"/>
            <w:tcBorders>
              <w:bottom w:val="single" w:sz="4" w:space="0" w:color="000000"/>
            </w:tcBorders>
          </w:tcPr>
          <w:p>
            <w:pPr>
              <w:pStyle w:val="TableParagraph"/>
              <w:rPr>
                <w:rFonts w:ascii="Times New Roman"/>
                <w:sz w:val="16"/>
              </w:rPr>
            </w:pPr>
          </w:p>
        </w:tc>
        <w:tc>
          <w:tcPr>
            <w:tcW w:w="1702" w:type="dxa"/>
            <w:tcBorders>
              <w:bottom w:val="single" w:sz="4" w:space="0" w:color="000000"/>
            </w:tcBorders>
          </w:tcPr>
          <w:p>
            <w:pPr>
              <w:pStyle w:val="TableParagraph"/>
              <w:rPr>
                <w:rFonts w:ascii="Times New Roman"/>
                <w:sz w:val="16"/>
              </w:rPr>
            </w:pPr>
          </w:p>
        </w:tc>
        <w:tc>
          <w:tcPr>
            <w:tcW w:w="1274" w:type="dxa"/>
            <w:tcBorders>
              <w:bottom w:val="single" w:sz="4" w:space="0" w:color="000000"/>
            </w:tcBorders>
          </w:tcPr>
          <w:p>
            <w:pPr>
              <w:pStyle w:val="TableParagraph"/>
              <w:rPr>
                <w:rFonts w:ascii="Times New Roman"/>
                <w:sz w:val="16"/>
              </w:rPr>
            </w:pPr>
          </w:p>
        </w:tc>
        <w:tc>
          <w:tcPr>
            <w:tcW w:w="1602" w:type="dxa"/>
          </w:tcPr>
          <w:p>
            <w:pPr>
              <w:pStyle w:val="TableParagraph"/>
              <w:rPr>
                <w:rFonts w:ascii="Times New Roman"/>
                <w:sz w:val="16"/>
              </w:rPr>
            </w:pPr>
          </w:p>
        </w:tc>
        <w:tc>
          <w:tcPr>
            <w:tcW w:w="2526" w:type="dxa"/>
            <w:vMerge/>
            <w:tcBorders>
              <w:top w:val="nil"/>
            </w:tcBorders>
          </w:tcPr>
          <w:p>
            <w:pPr>
              <w:rPr>
                <w:sz w:val="2"/>
                <w:szCs w:val="2"/>
              </w:rPr>
            </w:pPr>
          </w:p>
        </w:tc>
        <w:tc>
          <w:tcPr>
            <w:tcW w:w="4381" w:type="dxa"/>
            <w:vMerge w:val="restart"/>
            <w:tcBorders>
              <w:right w:val="single" w:sz="12" w:space="0" w:color="000000"/>
            </w:tcBorders>
          </w:tcPr>
          <w:p>
            <w:pPr>
              <w:pStyle w:val="TableParagraph"/>
              <w:spacing w:before="93"/>
              <w:ind w:left="126" w:right="94"/>
              <w:rPr>
                <w:sz w:val="18"/>
              </w:rPr>
            </w:pPr>
            <w:r>
              <w:rPr>
                <w:sz w:val="18"/>
              </w:rPr>
              <w:t>Implementing tuberculosis diagnostics: Policy framework (2015) </w:t>
            </w:r>
            <w:hyperlink r:id="rId117">
              <w:r>
                <w:rPr>
                  <w:color w:val="0462C1"/>
                  <w:spacing w:val="-1"/>
                  <w:sz w:val="18"/>
                  <w:u w:val="single" w:color="0462C1"/>
                </w:rPr>
                <w:t>http://apps.who.int/iris/bitstream/10665/162712/1/978</w:t>
              </w:r>
            </w:hyperlink>
            <w:r>
              <w:rPr>
                <w:color w:val="0462C1"/>
                <w:spacing w:val="-1"/>
                <w:sz w:val="18"/>
              </w:rPr>
              <w:t> </w:t>
            </w:r>
            <w:hyperlink r:id="rId117">
              <w:r>
                <w:rPr>
                  <w:color w:val="0462C1"/>
                  <w:sz w:val="18"/>
                  <w:u w:val="single" w:color="0462C1"/>
                </w:rPr>
                <w:t>9241508612_eng.pdf</w:t>
              </w:r>
            </w:hyperlink>
          </w:p>
        </w:tc>
      </w:tr>
      <w:tr>
        <w:trPr>
          <w:trHeight w:val="1756" w:hRule="atLeast"/>
        </w:trPr>
        <w:tc>
          <w:tcPr>
            <w:tcW w:w="1256" w:type="dxa"/>
            <w:tcBorders>
              <w:left w:val="single" w:sz="12" w:space="0" w:color="000000"/>
            </w:tcBorders>
          </w:tcPr>
          <w:p>
            <w:pPr>
              <w:pStyle w:val="TableParagraph"/>
              <w:rPr>
                <w:rFonts w:ascii="Times New Roman"/>
                <w:sz w:val="16"/>
              </w:rPr>
            </w:pPr>
          </w:p>
        </w:tc>
        <w:tc>
          <w:tcPr>
            <w:tcW w:w="1394" w:type="dxa"/>
            <w:tcBorders>
              <w:top w:val="single" w:sz="4" w:space="0" w:color="000000"/>
              <w:bottom w:val="single" w:sz="4" w:space="0" w:color="000000"/>
            </w:tcBorders>
          </w:tcPr>
          <w:p>
            <w:pPr>
              <w:pStyle w:val="TableParagraph"/>
              <w:rPr>
                <w:rFonts w:ascii="Times New Roman"/>
                <w:sz w:val="16"/>
              </w:rPr>
            </w:pPr>
          </w:p>
        </w:tc>
        <w:tc>
          <w:tcPr>
            <w:tcW w:w="1702" w:type="dxa"/>
            <w:tcBorders>
              <w:top w:val="single" w:sz="4" w:space="0" w:color="000000"/>
              <w:bottom w:val="single" w:sz="4" w:space="0" w:color="000000"/>
            </w:tcBorders>
          </w:tcPr>
          <w:p>
            <w:pPr>
              <w:pStyle w:val="TableParagraph"/>
              <w:ind w:left="122" w:right="124"/>
              <w:rPr>
                <w:sz w:val="18"/>
              </w:rPr>
            </w:pPr>
            <w:r>
              <w:rPr>
                <w:sz w:val="18"/>
              </w:rPr>
              <w:t>For the diagnosis of active TB</w:t>
            </w:r>
          </w:p>
        </w:tc>
        <w:tc>
          <w:tcPr>
            <w:tcW w:w="1274" w:type="dxa"/>
            <w:tcBorders>
              <w:top w:val="single" w:sz="4" w:space="0" w:color="000000"/>
              <w:bottom w:val="single" w:sz="4" w:space="0" w:color="000000"/>
            </w:tcBorders>
          </w:tcPr>
          <w:p>
            <w:pPr>
              <w:pStyle w:val="TableParagraph"/>
              <w:spacing w:line="219" w:lineRule="exact"/>
              <w:ind w:left="122"/>
              <w:rPr>
                <w:sz w:val="18"/>
              </w:rPr>
            </w:pPr>
            <w:r>
              <w:rPr>
                <w:sz w:val="18"/>
              </w:rPr>
              <w:t>LAMP</w:t>
            </w:r>
          </w:p>
        </w:tc>
        <w:tc>
          <w:tcPr>
            <w:tcW w:w="1602" w:type="dxa"/>
            <w:tcBorders>
              <w:bottom w:val="single" w:sz="4" w:space="0" w:color="000000"/>
            </w:tcBorders>
          </w:tcPr>
          <w:p>
            <w:pPr>
              <w:pStyle w:val="TableParagraph"/>
              <w:spacing w:line="219" w:lineRule="exact"/>
              <w:ind w:left="125"/>
              <w:rPr>
                <w:sz w:val="18"/>
              </w:rPr>
            </w:pPr>
            <w:r>
              <w:rPr>
                <w:sz w:val="18"/>
              </w:rPr>
              <w:t>Sputum</w:t>
            </w:r>
          </w:p>
        </w:tc>
        <w:tc>
          <w:tcPr>
            <w:tcW w:w="2526" w:type="dxa"/>
            <w:tcBorders>
              <w:bottom w:val="single" w:sz="4" w:space="0" w:color="000000"/>
            </w:tcBorders>
          </w:tcPr>
          <w:p>
            <w:pPr>
              <w:pStyle w:val="TableParagraph"/>
              <w:ind w:left="122" w:right="102"/>
              <w:rPr>
                <w:sz w:val="18"/>
              </w:rPr>
            </w:pPr>
            <w:r>
              <w:rPr>
                <w:sz w:val="18"/>
              </w:rPr>
              <w:t>The use of loop-mediated isothermal amplification (TB- LAMP) for the diagnosis of pulmonary tuberculosis: Policy guidance (2016) </w:t>
            </w:r>
            <w:hyperlink r:id="rId119">
              <w:r>
                <w:rPr>
                  <w:color w:val="0462C1"/>
                  <w:sz w:val="18"/>
                  <w:u w:val="single" w:color="0462C1"/>
                </w:rPr>
                <w:t>http://apps.who.int/iris/bitstre</w:t>
              </w:r>
            </w:hyperlink>
            <w:r>
              <w:rPr>
                <w:color w:val="0462C1"/>
                <w:sz w:val="18"/>
              </w:rPr>
              <w:t> </w:t>
            </w:r>
            <w:hyperlink r:id="rId119">
              <w:r>
                <w:rPr>
                  <w:color w:val="0462C1"/>
                  <w:sz w:val="18"/>
                  <w:u w:val="single" w:color="0462C1"/>
                </w:rPr>
                <w:t>am/10665/249154/1/9789241</w:t>
              </w:r>
            </w:hyperlink>
          </w:p>
          <w:p>
            <w:pPr>
              <w:pStyle w:val="TableParagraph"/>
              <w:spacing w:line="199" w:lineRule="exact"/>
              <w:ind w:left="122"/>
              <w:rPr>
                <w:sz w:val="18"/>
              </w:rPr>
            </w:pPr>
            <w:hyperlink r:id="rId119">
              <w:r>
                <w:rPr>
                  <w:color w:val="0462C1"/>
                  <w:sz w:val="18"/>
                </w:rPr>
                <w:t>511186-eng.pdf?ua=1</w:t>
              </w:r>
            </w:hyperlink>
          </w:p>
        </w:tc>
        <w:tc>
          <w:tcPr>
            <w:tcW w:w="4381" w:type="dxa"/>
            <w:vMerge/>
            <w:tcBorders>
              <w:top w:val="nil"/>
              <w:right w:val="single" w:sz="12" w:space="0" w:color="000000"/>
            </w:tcBorders>
          </w:tcPr>
          <w:p>
            <w:pPr>
              <w:rPr>
                <w:sz w:val="2"/>
                <w:szCs w:val="2"/>
              </w:rPr>
            </w:pPr>
          </w:p>
        </w:tc>
      </w:tr>
      <w:tr>
        <w:trPr>
          <w:trHeight w:val="220" w:hRule="atLeast"/>
        </w:trPr>
        <w:tc>
          <w:tcPr>
            <w:tcW w:w="1256" w:type="dxa"/>
            <w:vMerge w:val="restart"/>
            <w:tcBorders>
              <w:left w:val="single" w:sz="12" w:space="0" w:color="000000"/>
              <w:bottom w:val="single" w:sz="12" w:space="0" w:color="000000"/>
            </w:tcBorders>
          </w:tcPr>
          <w:p>
            <w:pPr>
              <w:pStyle w:val="TableParagraph"/>
              <w:rPr>
                <w:rFonts w:ascii="Times New Roman"/>
                <w:sz w:val="16"/>
              </w:rPr>
            </w:pPr>
          </w:p>
        </w:tc>
        <w:tc>
          <w:tcPr>
            <w:tcW w:w="1394" w:type="dxa"/>
            <w:tcBorders>
              <w:top w:val="single" w:sz="4" w:space="0" w:color="000000"/>
            </w:tcBorders>
          </w:tcPr>
          <w:p>
            <w:pPr>
              <w:pStyle w:val="TableParagraph"/>
              <w:spacing w:line="201" w:lineRule="exact"/>
              <w:ind w:left="117"/>
              <w:rPr>
                <w:sz w:val="18"/>
              </w:rPr>
            </w:pPr>
            <w:r>
              <w:rPr>
                <w:sz w:val="18"/>
              </w:rPr>
              <w:t>Immune</w:t>
            </w:r>
          </w:p>
        </w:tc>
        <w:tc>
          <w:tcPr>
            <w:tcW w:w="1702" w:type="dxa"/>
            <w:tcBorders>
              <w:top w:val="single" w:sz="4" w:space="0" w:color="000000"/>
            </w:tcBorders>
          </w:tcPr>
          <w:p>
            <w:pPr>
              <w:pStyle w:val="TableParagraph"/>
              <w:spacing w:line="201" w:lineRule="exact"/>
              <w:ind w:left="122"/>
              <w:rPr>
                <w:sz w:val="18"/>
              </w:rPr>
            </w:pPr>
            <w:r>
              <w:rPr>
                <w:sz w:val="18"/>
              </w:rPr>
              <w:t>For the diagnosis of</w:t>
            </w:r>
          </w:p>
        </w:tc>
        <w:tc>
          <w:tcPr>
            <w:tcW w:w="1274" w:type="dxa"/>
            <w:tcBorders>
              <w:top w:val="single" w:sz="4" w:space="0" w:color="000000"/>
            </w:tcBorders>
          </w:tcPr>
          <w:p>
            <w:pPr>
              <w:pStyle w:val="TableParagraph"/>
              <w:spacing w:line="201" w:lineRule="exact"/>
              <w:ind w:left="122"/>
              <w:rPr>
                <w:sz w:val="18"/>
              </w:rPr>
            </w:pPr>
            <w:r>
              <w:rPr>
                <w:sz w:val="18"/>
              </w:rPr>
              <w:t>Intradermal</w:t>
            </w:r>
          </w:p>
        </w:tc>
        <w:tc>
          <w:tcPr>
            <w:tcW w:w="1602" w:type="dxa"/>
            <w:tcBorders>
              <w:top w:val="single" w:sz="4" w:space="0" w:color="000000"/>
            </w:tcBorders>
          </w:tcPr>
          <w:p>
            <w:pPr>
              <w:pStyle w:val="TableParagraph"/>
              <w:spacing w:line="201" w:lineRule="exact"/>
              <w:ind w:left="125"/>
              <w:rPr>
                <w:sz w:val="18"/>
              </w:rPr>
            </w:pPr>
            <w:r>
              <w:rPr>
                <w:sz w:val="18"/>
              </w:rPr>
              <w:t>N/A</w:t>
            </w:r>
          </w:p>
        </w:tc>
        <w:tc>
          <w:tcPr>
            <w:tcW w:w="2526" w:type="dxa"/>
            <w:tcBorders>
              <w:top w:val="single" w:sz="4" w:space="0" w:color="000000"/>
            </w:tcBorders>
          </w:tcPr>
          <w:p>
            <w:pPr>
              <w:pStyle w:val="TableParagraph"/>
              <w:spacing w:line="201" w:lineRule="exact"/>
              <w:ind w:left="122"/>
              <w:rPr>
                <w:sz w:val="18"/>
              </w:rPr>
            </w:pPr>
            <w:r>
              <w:rPr>
                <w:sz w:val="18"/>
              </w:rPr>
              <w:t>Latent TB infection: Updated</w:t>
            </w:r>
          </w:p>
        </w:tc>
        <w:tc>
          <w:tcPr>
            <w:tcW w:w="4381" w:type="dxa"/>
            <w:vMerge w:val="restart"/>
            <w:tcBorders>
              <w:bottom w:val="single" w:sz="12" w:space="0" w:color="000000"/>
              <w:right w:val="single" w:sz="12" w:space="0" w:color="000000"/>
            </w:tcBorders>
          </w:tcPr>
          <w:p>
            <w:pPr>
              <w:pStyle w:val="TableParagraph"/>
              <w:rPr>
                <w:rFonts w:ascii="Times New Roman"/>
                <w:sz w:val="16"/>
              </w:rPr>
            </w:pPr>
          </w:p>
        </w:tc>
      </w:tr>
      <w:tr>
        <w:trPr>
          <w:trHeight w:val="190" w:hRule="atLeast"/>
        </w:trPr>
        <w:tc>
          <w:tcPr>
            <w:tcW w:w="1256" w:type="dxa"/>
            <w:vMerge/>
            <w:tcBorders>
              <w:top w:val="nil"/>
              <w:left w:val="single" w:sz="12" w:space="0" w:color="000000"/>
              <w:bottom w:val="single" w:sz="12" w:space="0" w:color="000000"/>
            </w:tcBorders>
          </w:tcPr>
          <w:p>
            <w:pPr>
              <w:rPr>
                <w:sz w:val="2"/>
                <w:szCs w:val="2"/>
              </w:rPr>
            </w:pPr>
          </w:p>
        </w:tc>
        <w:tc>
          <w:tcPr>
            <w:tcW w:w="1394" w:type="dxa"/>
          </w:tcPr>
          <w:p>
            <w:pPr>
              <w:pStyle w:val="TableParagraph"/>
              <w:spacing w:line="171" w:lineRule="exact"/>
              <w:ind w:left="117"/>
              <w:rPr>
                <w:sz w:val="18"/>
              </w:rPr>
            </w:pPr>
            <w:r>
              <w:rPr>
                <w:sz w:val="18"/>
              </w:rPr>
              <w:t>response</w:t>
            </w:r>
          </w:p>
        </w:tc>
        <w:tc>
          <w:tcPr>
            <w:tcW w:w="1702" w:type="dxa"/>
          </w:tcPr>
          <w:p>
            <w:pPr>
              <w:pStyle w:val="TableParagraph"/>
              <w:spacing w:line="171" w:lineRule="exact"/>
              <w:ind w:left="122"/>
              <w:rPr>
                <w:sz w:val="18"/>
              </w:rPr>
            </w:pPr>
            <w:r>
              <w:rPr>
                <w:sz w:val="18"/>
              </w:rPr>
              <w:t>latent TB infection</w:t>
            </w:r>
          </w:p>
        </w:tc>
        <w:tc>
          <w:tcPr>
            <w:tcW w:w="1274" w:type="dxa"/>
          </w:tcPr>
          <w:p>
            <w:pPr>
              <w:pStyle w:val="TableParagraph"/>
              <w:spacing w:line="171" w:lineRule="exact"/>
              <w:ind w:left="122"/>
              <w:rPr>
                <w:sz w:val="18"/>
              </w:rPr>
            </w:pPr>
            <w:r>
              <w:rPr>
                <w:sz w:val="18"/>
              </w:rPr>
              <w:t>skin test (TST)</w:t>
            </w:r>
          </w:p>
        </w:tc>
        <w:tc>
          <w:tcPr>
            <w:tcW w:w="1602" w:type="dxa"/>
          </w:tcPr>
          <w:p>
            <w:pPr>
              <w:pStyle w:val="TableParagraph"/>
              <w:rPr>
                <w:rFonts w:ascii="Times New Roman"/>
                <w:sz w:val="12"/>
              </w:rPr>
            </w:pPr>
          </w:p>
        </w:tc>
        <w:tc>
          <w:tcPr>
            <w:tcW w:w="2526" w:type="dxa"/>
          </w:tcPr>
          <w:p>
            <w:pPr>
              <w:pStyle w:val="TableParagraph"/>
              <w:spacing w:line="171" w:lineRule="exact"/>
              <w:ind w:left="122"/>
              <w:rPr>
                <w:sz w:val="18"/>
              </w:rPr>
            </w:pPr>
            <w:r>
              <w:rPr>
                <w:sz w:val="18"/>
              </w:rPr>
              <w:t>and consolidated guidelines for</w:t>
            </w:r>
          </w:p>
        </w:tc>
        <w:tc>
          <w:tcPr>
            <w:tcW w:w="4381" w:type="dxa"/>
            <w:vMerge/>
            <w:tcBorders>
              <w:top w:val="nil"/>
              <w:bottom w:val="single" w:sz="12" w:space="0" w:color="000000"/>
              <w:right w:val="single" w:sz="12" w:space="0" w:color="000000"/>
            </w:tcBorders>
          </w:tcPr>
          <w:p>
            <w:pPr>
              <w:rPr>
                <w:sz w:val="2"/>
                <w:szCs w:val="2"/>
              </w:rPr>
            </w:pPr>
          </w:p>
        </w:tc>
      </w:tr>
      <w:tr>
        <w:trPr>
          <w:trHeight w:val="189" w:hRule="atLeast"/>
        </w:trPr>
        <w:tc>
          <w:tcPr>
            <w:tcW w:w="1256" w:type="dxa"/>
            <w:vMerge/>
            <w:tcBorders>
              <w:top w:val="nil"/>
              <w:left w:val="single" w:sz="12" w:space="0" w:color="000000"/>
              <w:bottom w:val="single" w:sz="12" w:space="0" w:color="000000"/>
            </w:tcBorders>
          </w:tcPr>
          <w:p>
            <w:pPr>
              <w:rPr>
                <w:sz w:val="2"/>
                <w:szCs w:val="2"/>
              </w:rPr>
            </w:pPr>
          </w:p>
        </w:tc>
        <w:tc>
          <w:tcPr>
            <w:tcW w:w="1394" w:type="dxa"/>
          </w:tcPr>
          <w:p>
            <w:pPr>
              <w:pStyle w:val="TableParagraph"/>
              <w:rPr>
                <w:rFonts w:ascii="Times New Roman"/>
                <w:sz w:val="12"/>
              </w:rPr>
            </w:pPr>
          </w:p>
        </w:tc>
        <w:tc>
          <w:tcPr>
            <w:tcW w:w="1702" w:type="dxa"/>
          </w:tcPr>
          <w:p>
            <w:pPr>
              <w:pStyle w:val="TableParagraph"/>
              <w:rPr>
                <w:rFonts w:ascii="Times New Roman"/>
                <w:sz w:val="12"/>
              </w:rPr>
            </w:pPr>
          </w:p>
        </w:tc>
        <w:tc>
          <w:tcPr>
            <w:tcW w:w="1274" w:type="dxa"/>
          </w:tcPr>
          <w:p>
            <w:pPr>
              <w:pStyle w:val="TableParagraph"/>
              <w:rPr>
                <w:rFonts w:ascii="Times New Roman"/>
                <w:sz w:val="12"/>
              </w:rPr>
            </w:pPr>
          </w:p>
        </w:tc>
        <w:tc>
          <w:tcPr>
            <w:tcW w:w="1602" w:type="dxa"/>
          </w:tcPr>
          <w:p>
            <w:pPr>
              <w:pStyle w:val="TableParagraph"/>
              <w:rPr>
                <w:rFonts w:ascii="Times New Roman"/>
                <w:sz w:val="12"/>
              </w:rPr>
            </w:pPr>
          </w:p>
        </w:tc>
        <w:tc>
          <w:tcPr>
            <w:tcW w:w="2526" w:type="dxa"/>
          </w:tcPr>
          <w:p>
            <w:pPr>
              <w:pStyle w:val="TableParagraph"/>
              <w:spacing w:line="170" w:lineRule="exact"/>
              <w:ind w:left="122"/>
              <w:rPr>
                <w:sz w:val="18"/>
              </w:rPr>
            </w:pPr>
            <w:r>
              <w:rPr>
                <w:sz w:val="18"/>
              </w:rPr>
              <w:t>programmatic management</w:t>
            </w:r>
          </w:p>
        </w:tc>
        <w:tc>
          <w:tcPr>
            <w:tcW w:w="4381" w:type="dxa"/>
            <w:vMerge/>
            <w:tcBorders>
              <w:top w:val="nil"/>
              <w:bottom w:val="single" w:sz="12" w:space="0" w:color="000000"/>
              <w:right w:val="single" w:sz="12" w:space="0" w:color="000000"/>
            </w:tcBorders>
          </w:tcPr>
          <w:p>
            <w:pPr>
              <w:rPr>
                <w:sz w:val="2"/>
                <w:szCs w:val="2"/>
              </w:rPr>
            </w:pPr>
          </w:p>
        </w:tc>
      </w:tr>
      <w:tr>
        <w:trPr>
          <w:trHeight w:val="189" w:hRule="atLeast"/>
        </w:trPr>
        <w:tc>
          <w:tcPr>
            <w:tcW w:w="1256" w:type="dxa"/>
            <w:vMerge/>
            <w:tcBorders>
              <w:top w:val="nil"/>
              <w:left w:val="single" w:sz="12" w:space="0" w:color="000000"/>
              <w:bottom w:val="single" w:sz="12" w:space="0" w:color="000000"/>
            </w:tcBorders>
          </w:tcPr>
          <w:p>
            <w:pPr>
              <w:rPr>
                <w:sz w:val="2"/>
                <w:szCs w:val="2"/>
              </w:rPr>
            </w:pPr>
          </w:p>
        </w:tc>
        <w:tc>
          <w:tcPr>
            <w:tcW w:w="1394" w:type="dxa"/>
          </w:tcPr>
          <w:p>
            <w:pPr>
              <w:pStyle w:val="TableParagraph"/>
              <w:rPr>
                <w:rFonts w:ascii="Times New Roman"/>
                <w:sz w:val="12"/>
              </w:rPr>
            </w:pPr>
          </w:p>
        </w:tc>
        <w:tc>
          <w:tcPr>
            <w:tcW w:w="1702" w:type="dxa"/>
          </w:tcPr>
          <w:p>
            <w:pPr>
              <w:pStyle w:val="TableParagraph"/>
              <w:rPr>
                <w:rFonts w:ascii="Times New Roman"/>
                <w:sz w:val="12"/>
              </w:rPr>
            </w:pPr>
          </w:p>
        </w:tc>
        <w:tc>
          <w:tcPr>
            <w:tcW w:w="1274" w:type="dxa"/>
          </w:tcPr>
          <w:p>
            <w:pPr>
              <w:pStyle w:val="TableParagraph"/>
              <w:rPr>
                <w:rFonts w:ascii="Times New Roman"/>
                <w:sz w:val="12"/>
              </w:rPr>
            </w:pPr>
          </w:p>
        </w:tc>
        <w:tc>
          <w:tcPr>
            <w:tcW w:w="1602" w:type="dxa"/>
          </w:tcPr>
          <w:p>
            <w:pPr>
              <w:pStyle w:val="TableParagraph"/>
              <w:rPr>
                <w:rFonts w:ascii="Times New Roman"/>
                <w:sz w:val="12"/>
              </w:rPr>
            </w:pPr>
          </w:p>
        </w:tc>
        <w:tc>
          <w:tcPr>
            <w:tcW w:w="2526" w:type="dxa"/>
          </w:tcPr>
          <w:p>
            <w:pPr>
              <w:pStyle w:val="TableParagraph"/>
              <w:spacing w:line="170" w:lineRule="exact"/>
              <w:ind w:left="122"/>
              <w:rPr>
                <w:sz w:val="18"/>
              </w:rPr>
            </w:pPr>
            <w:r>
              <w:rPr>
                <w:sz w:val="18"/>
              </w:rPr>
              <w:t>(2018)</w:t>
            </w:r>
          </w:p>
        </w:tc>
        <w:tc>
          <w:tcPr>
            <w:tcW w:w="4381" w:type="dxa"/>
            <w:vMerge/>
            <w:tcBorders>
              <w:top w:val="nil"/>
              <w:bottom w:val="single" w:sz="12" w:space="0" w:color="000000"/>
              <w:right w:val="single" w:sz="12" w:space="0" w:color="000000"/>
            </w:tcBorders>
          </w:tcPr>
          <w:p>
            <w:pPr>
              <w:rPr>
                <w:sz w:val="2"/>
                <w:szCs w:val="2"/>
              </w:rPr>
            </w:pPr>
          </w:p>
        </w:tc>
      </w:tr>
      <w:tr>
        <w:trPr>
          <w:trHeight w:val="189" w:hRule="atLeast"/>
        </w:trPr>
        <w:tc>
          <w:tcPr>
            <w:tcW w:w="1256" w:type="dxa"/>
            <w:vMerge/>
            <w:tcBorders>
              <w:top w:val="nil"/>
              <w:left w:val="single" w:sz="12" w:space="0" w:color="000000"/>
              <w:bottom w:val="single" w:sz="12" w:space="0" w:color="000000"/>
            </w:tcBorders>
          </w:tcPr>
          <w:p>
            <w:pPr>
              <w:rPr>
                <w:sz w:val="2"/>
                <w:szCs w:val="2"/>
              </w:rPr>
            </w:pPr>
          </w:p>
        </w:tc>
        <w:tc>
          <w:tcPr>
            <w:tcW w:w="1394" w:type="dxa"/>
          </w:tcPr>
          <w:p>
            <w:pPr>
              <w:pStyle w:val="TableParagraph"/>
              <w:rPr>
                <w:rFonts w:ascii="Times New Roman"/>
                <w:sz w:val="12"/>
              </w:rPr>
            </w:pPr>
          </w:p>
        </w:tc>
        <w:tc>
          <w:tcPr>
            <w:tcW w:w="1702" w:type="dxa"/>
          </w:tcPr>
          <w:p>
            <w:pPr>
              <w:pStyle w:val="TableParagraph"/>
              <w:rPr>
                <w:rFonts w:ascii="Times New Roman"/>
                <w:sz w:val="12"/>
              </w:rPr>
            </w:pPr>
          </w:p>
        </w:tc>
        <w:tc>
          <w:tcPr>
            <w:tcW w:w="1274" w:type="dxa"/>
          </w:tcPr>
          <w:p>
            <w:pPr>
              <w:pStyle w:val="TableParagraph"/>
              <w:rPr>
                <w:rFonts w:ascii="Times New Roman"/>
                <w:sz w:val="12"/>
              </w:rPr>
            </w:pPr>
          </w:p>
        </w:tc>
        <w:tc>
          <w:tcPr>
            <w:tcW w:w="1602" w:type="dxa"/>
          </w:tcPr>
          <w:p>
            <w:pPr>
              <w:pStyle w:val="TableParagraph"/>
              <w:rPr>
                <w:rFonts w:ascii="Times New Roman"/>
                <w:sz w:val="12"/>
              </w:rPr>
            </w:pPr>
          </w:p>
        </w:tc>
        <w:tc>
          <w:tcPr>
            <w:tcW w:w="2526" w:type="dxa"/>
          </w:tcPr>
          <w:p>
            <w:pPr>
              <w:pStyle w:val="TableParagraph"/>
              <w:spacing w:line="170" w:lineRule="exact"/>
              <w:ind w:left="122"/>
              <w:rPr>
                <w:sz w:val="18"/>
              </w:rPr>
            </w:pPr>
            <w:hyperlink r:id="rId120">
              <w:r>
                <w:rPr>
                  <w:color w:val="0462C1"/>
                  <w:sz w:val="18"/>
                  <w:u w:val="single" w:color="0462C1"/>
                </w:rPr>
                <w:t>http://apps.who.int/iris/bitstre</w:t>
              </w:r>
            </w:hyperlink>
          </w:p>
        </w:tc>
        <w:tc>
          <w:tcPr>
            <w:tcW w:w="4381" w:type="dxa"/>
            <w:vMerge/>
            <w:tcBorders>
              <w:top w:val="nil"/>
              <w:bottom w:val="single" w:sz="12" w:space="0" w:color="000000"/>
              <w:right w:val="single" w:sz="12" w:space="0" w:color="000000"/>
            </w:tcBorders>
          </w:tcPr>
          <w:p>
            <w:pPr>
              <w:rPr>
                <w:sz w:val="2"/>
                <w:szCs w:val="2"/>
              </w:rPr>
            </w:pPr>
          </w:p>
        </w:tc>
      </w:tr>
      <w:tr>
        <w:trPr>
          <w:trHeight w:val="189" w:hRule="atLeast"/>
        </w:trPr>
        <w:tc>
          <w:tcPr>
            <w:tcW w:w="1256" w:type="dxa"/>
            <w:vMerge/>
            <w:tcBorders>
              <w:top w:val="nil"/>
              <w:left w:val="single" w:sz="12" w:space="0" w:color="000000"/>
              <w:bottom w:val="single" w:sz="12" w:space="0" w:color="000000"/>
            </w:tcBorders>
          </w:tcPr>
          <w:p>
            <w:pPr>
              <w:rPr>
                <w:sz w:val="2"/>
                <w:szCs w:val="2"/>
              </w:rPr>
            </w:pPr>
          </w:p>
        </w:tc>
        <w:tc>
          <w:tcPr>
            <w:tcW w:w="1394" w:type="dxa"/>
          </w:tcPr>
          <w:p>
            <w:pPr>
              <w:pStyle w:val="TableParagraph"/>
              <w:rPr>
                <w:rFonts w:ascii="Times New Roman"/>
                <w:sz w:val="12"/>
              </w:rPr>
            </w:pPr>
          </w:p>
        </w:tc>
        <w:tc>
          <w:tcPr>
            <w:tcW w:w="1702" w:type="dxa"/>
          </w:tcPr>
          <w:p>
            <w:pPr>
              <w:pStyle w:val="TableParagraph"/>
              <w:rPr>
                <w:rFonts w:ascii="Times New Roman"/>
                <w:sz w:val="12"/>
              </w:rPr>
            </w:pPr>
          </w:p>
        </w:tc>
        <w:tc>
          <w:tcPr>
            <w:tcW w:w="1274" w:type="dxa"/>
          </w:tcPr>
          <w:p>
            <w:pPr>
              <w:pStyle w:val="TableParagraph"/>
              <w:rPr>
                <w:rFonts w:ascii="Times New Roman"/>
                <w:sz w:val="12"/>
              </w:rPr>
            </w:pPr>
          </w:p>
        </w:tc>
        <w:tc>
          <w:tcPr>
            <w:tcW w:w="1602" w:type="dxa"/>
          </w:tcPr>
          <w:p>
            <w:pPr>
              <w:pStyle w:val="TableParagraph"/>
              <w:rPr>
                <w:rFonts w:ascii="Times New Roman"/>
                <w:sz w:val="12"/>
              </w:rPr>
            </w:pPr>
          </w:p>
        </w:tc>
        <w:tc>
          <w:tcPr>
            <w:tcW w:w="2526" w:type="dxa"/>
          </w:tcPr>
          <w:p>
            <w:pPr>
              <w:pStyle w:val="TableParagraph"/>
              <w:spacing w:line="170" w:lineRule="exact"/>
              <w:ind w:left="122"/>
              <w:rPr>
                <w:sz w:val="18"/>
              </w:rPr>
            </w:pPr>
            <w:hyperlink r:id="rId120">
              <w:r>
                <w:rPr>
                  <w:color w:val="0462C1"/>
                  <w:sz w:val="18"/>
                  <w:u w:val="single" w:color="0462C1"/>
                </w:rPr>
                <w:t>am/handle/10665/260233/978</w:t>
              </w:r>
            </w:hyperlink>
          </w:p>
        </w:tc>
        <w:tc>
          <w:tcPr>
            <w:tcW w:w="4381" w:type="dxa"/>
            <w:vMerge/>
            <w:tcBorders>
              <w:top w:val="nil"/>
              <w:bottom w:val="single" w:sz="12" w:space="0" w:color="000000"/>
              <w:right w:val="single" w:sz="12" w:space="0" w:color="000000"/>
            </w:tcBorders>
          </w:tcPr>
          <w:p>
            <w:pPr>
              <w:rPr>
                <w:sz w:val="2"/>
                <w:szCs w:val="2"/>
              </w:rPr>
            </w:pPr>
          </w:p>
        </w:tc>
      </w:tr>
      <w:tr>
        <w:trPr>
          <w:trHeight w:val="189" w:hRule="atLeast"/>
        </w:trPr>
        <w:tc>
          <w:tcPr>
            <w:tcW w:w="1256" w:type="dxa"/>
            <w:vMerge/>
            <w:tcBorders>
              <w:top w:val="nil"/>
              <w:left w:val="single" w:sz="12" w:space="0" w:color="000000"/>
              <w:bottom w:val="single" w:sz="12" w:space="0" w:color="000000"/>
            </w:tcBorders>
          </w:tcPr>
          <w:p>
            <w:pPr>
              <w:rPr>
                <w:sz w:val="2"/>
                <w:szCs w:val="2"/>
              </w:rPr>
            </w:pPr>
          </w:p>
        </w:tc>
        <w:tc>
          <w:tcPr>
            <w:tcW w:w="1394" w:type="dxa"/>
          </w:tcPr>
          <w:p>
            <w:pPr>
              <w:pStyle w:val="TableParagraph"/>
              <w:rPr>
                <w:rFonts w:ascii="Times New Roman"/>
                <w:sz w:val="12"/>
              </w:rPr>
            </w:pPr>
          </w:p>
        </w:tc>
        <w:tc>
          <w:tcPr>
            <w:tcW w:w="1702" w:type="dxa"/>
          </w:tcPr>
          <w:p>
            <w:pPr>
              <w:pStyle w:val="TableParagraph"/>
              <w:rPr>
                <w:rFonts w:ascii="Times New Roman"/>
                <w:sz w:val="12"/>
              </w:rPr>
            </w:pPr>
          </w:p>
        </w:tc>
        <w:tc>
          <w:tcPr>
            <w:tcW w:w="1274" w:type="dxa"/>
          </w:tcPr>
          <w:p>
            <w:pPr>
              <w:pStyle w:val="TableParagraph"/>
              <w:rPr>
                <w:rFonts w:ascii="Times New Roman"/>
                <w:sz w:val="12"/>
              </w:rPr>
            </w:pPr>
          </w:p>
        </w:tc>
        <w:tc>
          <w:tcPr>
            <w:tcW w:w="1602" w:type="dxa"/>
          </w:tcPr>
          <w:p>
            <w:pPr>
              <w:pStyle w:val="TableParagraph"/>
              <w:rPr>
                <w:rFonts w:ascii="Times New Roman"/>
                <w:sz w:val="12"/>
              </w:rPr>
            </w:pPr>
          </w:p>
        </w:tc>
        <w:tc>
          <w:tcPr>
            <w:tcW w:w="2526" w:type="dxa"/>
          </w:tcPr>
          <w:p>
            <w:pPr>
              <w:pStyle w:val="TableParagraph"/>
              <w:spacing w:line="170" w:lineRule="exact"/>
              <w:ind w:left="122"/>
              <w:rPr>
                <w:sz w:val="18"/>
              </w:rPr>
            </w:pPr>
            <w:hyperlink r:id="rId120">
              <w:r>
                <w:rPr>
                  <w:color w:val="0462C1"/>
                  <w:sz w:val="18"/>
                  <w:u w:val="single" w:color="0462C1"/>
                </w:rPr>
                <w:t>9241550239-</w:t>
              </w:r>
            </w:hyperlink>
          </w:p>
        </w:tc>
        <w:tc>
          <w:tcPr>
            <w:tcW w:w="4381" w:type="dxa"/>
            <w:vMerge/>
            <w:tcBorders>
              <w:top w:val="nil"/>
              <w:bottom w:val="single" w:sz="12" w:space="0" w:color="000000"/>
              <w:right w:val="single" w:sz="12" w:space="0" w:color="000000"/>
            </w:tcBorders>
          </w:tcPr>
          <w:p>
            <w:pPr>
              <w:rPr>
                <w:sz w:val="2"/>
                <w:szCs w:val="2"/>
              </w:rPr>
            </w:pPr>
          </w:p>
        </w:tc>
      </w:tr>
      <w:tr>
        <w:trPr>
          <w:trHeight w:val="189" w:hRule="atLeast"/>
        </w:trPr>
        <w:tc>
          <w:tcPr>
            <w:tcW w:w="1256" w:type="dxa"/>
            <w:vMerge/>
            <w:tcBorders>
              <w:top w:val="nil"/>
              <w:left w:val="single" w:sz="12" w:space="0" w:color="000000"/>
              <w:bottom w:val="single" w:sz="12" w:space="0" w:color="000000"/>
            </w:tcBorders>
          </w:tcPr>
          <w:p>
            <w:pPr>
              <w:rPr>
                <w:sz w:val="2"/>
                <w:szCs w:val="2"/>
              </w:rPr>
            </w:pPr>
          </w:p>
        </w:tc>
        <w:tc>
          <w:tcPr>
            <w:tcW w:w="1394" w:type="dxa"/>
          </w:tcPr>
          <w:p>
            <w:pPr>
              <w:pStyle w:val="TableParagraph"/>
              <w:rPr>
                <w:rFonts w:ascii="Times New Roman"/>
                <w:sz w:val="12"/>
              </w:rPr>
            </w:pPr>
          </w:p>
        </w:tc>
        <w:tc>
          <w:tcPr>
            <w:tcW w:w="1702" w:type="dxa"/>
          </w:tcPr>
          <w:p>
            <w:pPr>
              <w:pStyle w:val="TableParagraph"/>
              <w:rPr>
                <w:rFonts w:ascii="Times New Roman"/>
                <w:sz w:val="12"/>
              </w:rPr>
            </w:pPr>
          </w:p>
        </w:tc>
        <w:tc>
          <w:tcPr>
            <w:tcW w:w="1274" w:type="dxa"/>
          </w:tcPr>
          <w:p>
            <w:pPr>
              <w:pStyle w:val="TableParagraph"/>
              <w:rPr>
                <w:rFonts w:ascii="Times New Roman"/>
                <w:sz w:val="12"/>
              </w:rPr>
            </w:pPr>
          </w:p>
        </w:tc>
        <w:tc>
          <w:tcPr>
            <w:tcW w:w="1602" w:type="dxa"/>
          </w:tcPr>
          <w:p>
            <w:pPr>
              <w:pStyle w:val="TableParagraph"/>
              <w:rPr>
                <w:rFonts w:ascii="Times New Roman"/>
                <w:sz w:val="12"/>
              </w:rPr>
            </w:pPr>
          </w:p>
        </w:tc>
        <w:tc>
          <w:tcPr>
            <w:tcW w:w="2526" w:type="dxa"/>
          </w:tcPr>
          <w:p>
            <w:pPr>
              <w:pStyle w:val="TableParagraph"/>
              <w:spacing w:line="170" w:lineRule="exact"/>
              <w:ind w:left="122"/>
              <w:rPr>
                <w:sz w:val="18"/>
              </w:rPr>
            </w:pPr>
            <w:hyperlink r:id="rId120">
              <w:r>
                <w:rPr>
                  <w:color w:val="0462C1"/>
                  <w:sz w:val="18"/>
                  <w:u w:val="single" w:color="0462C1"/>
                </w:rPr>
                <w:t>eng.pdf;jsessionid=6D1BB2463</w:t>
              </w:r>
            </w:hyperlink>
          </w:p>
        </w:tc>
        <w:tc>
          <w:tcPr>
            <w:tcW w:w="4381" w:type="dxa"/>
            <w:vMerge/>
            <w:tcBorders>
              <w:top w:val="nil"/>
              <w:bottom w:val="single" w:sz="12" w:space="0" w:color="000000"/>
              <w:right w:val="single" w:sz="12" w:space="0" w:color="000000"/>
            </w:tcBorders>
          </w:tcPr>
          <w:p>
            <w:pPr>
              <w:rPr>
                <w:sz w:val="2"/>
                <w:szCs w:val="2"/>
              </w:rPr>
            </w:pPr>
          </w:p>
        </w:tc>
      </w:tr>
      <w:tr>
        <w:trPr>
          <w:trHeight w:val="189" w:hRule="atLeast"/>
        </w:trPr>
        <w:tc>
          <w:tcPr>
            <w:tcW w:w="1256" w:type="dxa"/>
            <w:vMerge/>
            <w:tcBorders>
              <w:top w:val="nil"/>
              <w:left w:val="single" w:sz="12" w:space="0" w:color="000000"/>
              <w:bottom w:val="single" w:sz="12" w:space="0" w:color="000000"/>
            </w:tcBorders>
          </w:tcPr>
          <w:p>
            <w:pPr>
              <w:rPr>
                <w:sz w:val="2"/>
                <w:szCs w:val="2"/>
              </w:rPr>
            </w:pPr>
          </w:p>
        </w:tc>
        <w:tc>
          <w:tcPr>
            <w:tcW w:w="1394" w:type="dxa"/>
          </w:tcPr>
          <w:p>
            <w:pPr>
              <w:pStyle w:val="TableParagraph"/>
              <w:rPr>
                <w:rFonts w:ascii="Times New Roman"/>
                <w:sz w:val="12"/>
              </w:rPr>
            </w:pPr>
          </w:p>
        </w:tc>
        <w:tc>
          <w:tcPr>
            <w:tcW w:w="1702" w:type="dxa"/>
          </w:tcPr>
          <w:p>
            <w:pPr>
              <w:pStyle w:val="TableParagraph"/>
              <w:rPr>
                <w:rFonts w:ascii="Times New Roman"/>
                <w:sz w:val="12"/>
              </w:rPr>
            </w:pPr>
          </w:p>
        </w:tc>
        <w:tc>
          <w:tcPr>
            <w:tcW w:w="1274" w:type="dxa"/>
          </w:tcPr>
          <w:p>
            <w:pPr>
              <w:pStyle w:val="TableParagraph"/>
              <w:rPr>
                <w:rFonts w:ascii="Times New Roman"/>
                <w:sz w:val="12"/>
              </w:rPr>
            </w:pPr>
          </w:p>
        </w:tc>
        <w:tc>
          <w:tcPr>
            <w:tcW w:w="1602" w:type="dxa"/>
          </w:tcPr>
          <w:p>
            <w:pPr>
              <w:pStyle w:val="TableParagraph"/>
              <w:rPr>
                <w:rFonts w:ascii="Times New Roman"/>
                <w:sz w:val="12"/>
              </w:rPr>
            </w:pPr>
          </w:p>
        </w:tc>
        <w:tc>
          <w:tcPr>
            <w:tcW w:w="2526" w:type="dxa"/>
          </w:tcPr>
          <w:p>
            <w:pPr>
              <w:pStyle w:val="TableParagraph"/>
              <w:spacing w:line="170" w:lineRule="exact"/>
              <w:ind w:left="122"/>
              <w:rPr>
                <w:sz w:val="18"/>
              </w:rPr>
            </w:pPr>
            <w:hyperlink r:id="rId120">
              <w:r>
                <w:rPr>
                  <w:color w:val="0462C1"/>
                  <w:sz w:val="18"/>
                  <w:u w:val="single" w:color="0462C1"/>
                </w:rPr>
                <w:t>12B378ACFEBF9BFFAFEB0ED?s</w:t>
              </w:r>
            </w:hyperlink>
          </w:p>
        </w:tc>
        <w:tc>
          <w:tcPr>
            <w:tcW w:w="4381" w:type="dxa"/>
            <w:vMerge/>
            <w:tcBorders>
              <w:top w:val="nil"/>
              <w:bottom w:val="single" w:sz="12" w:space="0" w:color="000000"/>
              <w:right w:val="single" w:sz="12" w:space="0" w:color="000000"/>
            </w:tcBorders>
          </w:tcPr>
          <w:p>
            <w:pPr>
              <w:rPr>
                <w:sz w:val="2"/>
                <w:szCs w:val="2"/>
              </w:rPr>
            </w:pPr>
          </w:p>
        </w:tc>
      </w:tr>
      <w:tr>
        <w:trPr>
          <w:trHeight w:val="188" w:hRule="atLeast"/>
        </w:trPr>
        <w:tc>
          <w:tcPr>
            <w:tcW w:w="1256" w:type="dxa"/>
            <w:vMerge/>
            <w:tcBorders>
              <w:top w:val="nil"/>
              <w:left w:val="single" w:sz="12" w:space="0" w:color="000000"/>
              <w:bottom w:val="single" w:sz="12" w:space="0" w:color="000000"/>
            </w:tcBorders>
          </w:tcPr>
          <w:p>
            <w:pPr>
              <w:rPr>
                <w:sz w:val="2"/>
                <w:szCs w:val="2"/>
              </w:rPr>
            </w:pPr>
          </w:p>
        </w:tc>
        <w:tc>
          <w:tcPr>
            <w:tcW w:w="1394" w:type="dxa"/>
            <w:tcBorders>
              <w:bottom w:val="single" w:sz="12" w:space="0" w:color="000000"/>
            </w:tcBorders>
          </w:tcPr>
          <w:p>
            <w:pPr>
              <w:pStyle w:val="TableParagraph"/>
              <w:rPr>
                <w:rFonts w:ascii="Times New Roman"/>
                <w:sz w:val="12"/>
              </w:rPr>
            </w:pPr>
          </w:p>
        </w:tc>
        <w:tc>
          <w:tcPr>
            <w:tcW w:w="1702" w:type="dxa"/>
            <w:tcBorders>
              <w:bottom w:val="single" w:sz="12" w:space="0" w:color="000000"/>
            </w:tcBorders>
          </w:tcPr>
          <w:p>
            <w:pPr>
              <w:pStyle w:val="TableParagraph"/>
              <w:rPr>
                <w:rFonts w:ascii="Times New Roman"/>
                <w:sz w:val="12"/>
              </w:rPr>
            </w:pPr>
          </w:p>
        </w:tc>
        <w:tc>
          <w:tcPr>
            <w:tcW w:w="1274" w:type="dxa"/>
            <w:tcBorders>
              <w:bottom w:val="single" w:sz="12" w:space="0" w:color="000000"/>
            </w:tcBorders>
          </w:tcPr>
          <w:p>
            <w:pPr>
              <w:pStyle w:val="TableParagraph"/>
              <w:rPr>
                <w:rFonts w:ascii="Times New Roman"/>
                <w:sz w:val="12"/>
              </w:rPr>
            </w:pPr>
          </w:p>
        </w:tc>
        <w:tc>
          <w:tcPr>
            <w:tcW w:w="1602" w:type="dxa"/>
            <w:tcBorders>
              <w:bottom w:val="single" w:sz="12" w:space="0" w:color="000000"/>
            </w:tcBorders>
          </w:tcPr>
          <w:p>
            <w:pPr>
              <w:pStyle w:val="TableParagraph"/>
              <w:rPr>
                <w:rFonts w:ascii="Times New Roman"/>
                <w:sz w:val="12"/>
              </w:rPr>
            </w:pPr>
          </w:p>
        </w:tc>
        <w:tc>
          <w:tcPr>
            <w:tcW w:w="2526" w:type="dxa"/>
            <w:tcBorders>
              <w:bottom w:val="single" w:sz="12" w:space="0" w:color="000000"/>
            </w:tcBorders>
          </w:tcPr>
          <w:p>
            <w:pPr>
              <w:pStyle w:val="TableParagraph"/>
              <w:spacing w:line="169" w:lineRule="exact"/>
              <w:ind w:left="122"/>
              <w:rPr>
                <w:sz w:val="18"/>
              </w:rPr>
            </w:pPr>
            <w:hyperlink r:id="rId120">
              <w:r>
                <w:rPr>
                  <w:color w:val="0462C1"/>
                  <w:sz w:val="18"/>
                  <w:u w:val="single" w:color="0462C1"/>
                </w:rPr>
                <w:t>equence=1</w:t>
              </w:r>
            </w:hyperlink>
          </w:p>
        </w:tc>
        <w:tc>
          <w:tcPr>
            <w:tcW w:w="4381" w:type="dxa"/>
            <w:vMerge/>
            <w:tcBorders>
              <w:top w:val="nil"/>
              <w:bottom w:val="single" w:sz="12" w:space="0" w:color="000000"/>
              <w:right w:val="single" w:sz="12" w:space="0" w:color="000000"/>
            </w:tcBorders>
          </w:tcPr>
          <w:p>
            <w:pPr>
              <w:rPr>
                <w:sz w:val="2"/>
                <w:szCs w:val="2"/>
              </w:rPr>
            </w:pPr>
          </w:p>
        </w:tc>
      </w:tr>
    </w:tbl>
    <w:p>
      <w:pPr>
        <w:spacing w:after="0"/>
        <w:rPr>
          <w:sz w:val="2"/>
          <w:szCs w:val="2"/>
        </w:rPr>
        <w:sectPr>
          <w:headerReference w:type="default" r:id="rId104"/>
          <w:footerReference w:type="default" r:id="rId105"/>
          <w:pgSz w:w="16840" w:h="11910" w:orient="landscape"/>
          <w:pgMar w:header="0" w:footer="495" w:top="1100" w:bottom="680" w:left="1180" w:right="920"/>
          <w:pgNumType w:start="14"/>
        </w:sectPr>
      </w:pPr>
    </w:p>
    <w:p>
      <w:pPr>
        <w:pStyle w:val="BodyText"/>
        <w:rPr>
          <w:rFonts w:ascii="Times New Roman"/>
          <w:sz w:val="29"/>
        </w:rPr>
      </w:pPr>
      <w:r>
        <w:rPr/>
        <w:pict>
          <v:group style="position:absolute;margin-left:114.379997pt;margin-top:99.62001pt;width:.5pt;height:79.5pt;mso-position-horizontal-relative:page;mso-position-vertical-relative:page;z-index:-123976" coordorigin="2288,1992" coordsize="10,1590">
            <v:shape style="position:absolute;left:2287;top:1992;width:10;height:471" type="#_x0000_t75" stroked="false">
              <v:imagedata r:id="rId89" o:title=""/>
            </v:shape>
            <v:shape style="position:absolute;left:2287;top:2462;width:10;height:10" type="#_x0000_t75" stroked="false">
              <v:imagedata r:id="rId61" o:title=""/>
            </v:shape>
            <v:shape style="position:absolute;left:2287;top:2472;width:10;height:1110" type="#_x0000_t75" stroked="false">
              <v:imagedata r:id="rId123" o:title=""/>
            </v:shape>
            <w10:wrap type="none"/>
          </v:group>
        </w:pict>
      </w:r>
      <w:r>
        <w:rPr/>
        <w:pict>
          <v:group style="position:absolute;margin-left:199.339996pt;margin-top:99.62001pt;width:.5pt;height:123.55pt;mso-position-horizontal-relative:page;mso-position-vertical-relative:page;z-index:-123952" coordorigin="3987,1992" coordsize="10,2471">
            <v:shape style="position:absolute;left:3986;top:1992;width:10;height:471" type="#_x0000_t75" stroked="false">
              <v:imagedata r:id="rId89" o:title=""/>
            </v:shape>
            <v:shape style="position:absolute;left:3986;top:2462;width:10;height:10" type="#_x0000_t75" stroked="false">
              <v:imagedata r:id="rId61" o:title=""/>
            </v:shape>
            <v:shape style="position:absolute;left:3986;top:2472;width:10;height:1100" type="#_x0000_t75" stroked="false">
              <v:imagedata r:id="rId90" o:title=""/>
            </v:shape>
            <v:shape style="position:absolute;left:3986;top:3572;width:10;height:10" type="#_x0000_t75" stroked="false">
              <v:imagedata r:id="rId61" o:title=""/>
            </v:shape>
            <v:shape style="position:absolute;left:3986;top:3581;width:10;height:881" type="#_x0000_t75" stroked="false">
              <v:imagedata r:id="rId124" o:title=""/>
            </v:shape>
            <w10:wrap type="none"/>
          </v:group>
        </w:pict>
      </w:r>
      <w:r>
        <w:rPr/>
        <w:pict>
          <v:group style="position:absolute;margin-left:284.450012pt;margin-top:99.62001pt;width:150.3pt;height:123.55pt;mso-position-horizontal-relative:page;mso-position-vertical-relative:page;z-index:-123928" coordorigin="5689,1992" coordsize="3006,2471">
            <v:shape style="position:absolute;left:6965;top:1992;width:10;height:471" type="#_x0000_t75" stroked="false">
              <v:imagedata r:id="rId89" o:title=""/>
            </v:shape>
            <v:shape style="position:absolute;left:6965;top:2462;width:10;height:10" type="#_x0000_t75" stroked="false">
              <v:imagedata r:id="rId61" o:title=""/>
            </v:shape>
            <v:shape style="position:absolute;left:8684;top:1992;width:10;height:471" type="#_x0000_t75" stroked="false">
              <v:imagedata r:id="rId89" o:title=""/>
            </v:shape>
            <v:shape style="position:absolute;left:8684;top:2462;width:10;height:10" type="#_x0000_t75" stroked="false">
              <v:imagedata r:id="rId61" o:title=""/>
            </v:shape>
            <v:shape style="position:absolute;left:5689;top:1992;width:10;height:480" type="#_x0000_t75" stroked="false">
              <v:imagedata r:id="rId125" o:title=""/>
            </v:shape>
            <v:shape style="position:absolute;left:5689;top:2472;width:3006;height:1110" type="#_x0000_t75" stroked="false">
              <v:imagedata r:id="rId126" o:title=""/>
            </v:shape>
            <v:shape style="position:absolute;left:5689;top:3581;width:10;height:881" type="#_x0000_t75" stroked="false">
              <v:imagedata r:id="rId124" o:title=""/>
            </v:shape>
            <v:shape style="position:absolute;left:6965;top:3581;width:10;height:881" type="#_x0000_t75" stroked="false">
              <v:imagedata r:id="rId124" o:title=""/>
            </v:shape>
            <v:shape style="position:absolute;left:8684;top:3581;width:10;height:881" type="#_x0000_t75" stroked="false">
              <v:imagedata r:id="rId124" o:title=""/>
            </v:shape>
            <w10:wrap type="none"/>
          </v:group>
        </w:pict>
      </w:r>
      <w:r>
        <w:rPr/>
        <w:pict>
          <v:line style="position:absolute;mso-position-horizontal-relative:page;mso-position-vertical-relative:page;z-index:-123904" from="567.460022pt,177.350006pt" to="724.440022pt,177.350006pt" stroked="true" strokeweight=".59999pt" strokecolor="#0462c1">
            <v:stroke dashstyle="solid"/>
            <w10:wrap type="none"/>
          </v:line>
        </w:pict>
      </w:r>
      <w:r>
        <w:rPr/>
        <w:pict>
          <v:group style="position:absolute;margin-left:561.820007pt;margin-top:99.62001pt;width:.5pt;height:123.55pt;mso-position-horizontal-relative:page;mso-position-vertical-relative:page;z-index:-123880" coordorigin="11236,1992" coordsize="10,2471">
            <v:shape style="position:absolute;left:11236;top:1992;width:10;height:480" type="#_x0000_t75" stroked="false">
              <v:imagedata r:id="rId125" o:title=""/>
            </v:shape>
            <v:shape style="position:absolute;left:11236;top:2472;width:10;height:1110" type="#_x0000_t75" stroked="false">
              <v:imagedata r:id="rId127" o:title=""/>
            </v:shape>
            <v:shape style="position:absolute;left:11236;top:3581;width:10;height:881" type="#_x0000_t75" stroked="false">
              <v:imagedata r:id="rId124" o:title=""/>
            </v:shape>
            <w10:wrap type="none"/>
          </v:group>
        </w:pict>
      </w:r>
    </w:p>
    <w:tbl>
      <w:tblPr>
        <w:tblW w:w="0" w:type="auto"/>
        <w:jc w:val="left"/>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56"/>
        <w:gridCol w:w="1695"/>
        <w:gridCol w:w="1700"/>
        <w:gridCol w:w="1280"/>
        <w:gridCol w:w="1722"/>
        <w:gridCol w:w="2551"/>
        <w:gridCol w:w="4111"/>
      </w:tblGrid>
      <w:tr>
        <w:trPr>
          <w:trHeight w:val="512" w:hRule="atLeast"/>
        </w:trPr>
        <w:tc>
          <w:tcPr>
            <w:tcW w:w="14015" w:type="dxa"/>
            <w:gridSpan w:val="7"/>
            <w:tcBorders>
              <w:bottom w:val="single" w:sz="4" w:space="0" w:color="000000"/>
            </w:tcBorders>
            <w:shd w:val="clear" w:color="auto" w:fill="E7E6E6"/>
          </w:tcPr>
          <w:p>
            <w:pPr>
              <w:pStyle w:val="TableParagraph"/>
              <w:spacing w:before="1"/>
              <w:ind w:left="107"/>
              <w:rPr>
                <w:b/>
                <w:sz w:val="24"/>
              </w:rPr>
            </w:pPr>
            <w:r>
              <w:rPr>
                <w:b/>
                <w:sz w:val="24"/>
              </w:rPr>
              <w:t>I.b Disease-specific IVDs for primary health care</w:t>
            </w:r>
          </w:p>
        </w:tc>
      </w:tr>
      <w:tr>
        <w:trPr>
          <w:trHeight w:val="470" w:hRule="atLeast"/>
        </w:trPr>
        <w:tc>
          <w:tcPr>
            <w:tcW w:w="956" w:type="dxa"/>
            <w:tcBorders>
              <w:top w:val="single" w:sz="4" w:space="0" w:color="000000"/>
              <w:bottom w:val="single" w:sz="4" w:space="0" w:color="000000"/>
              <w:right w:val="nil"/>
            </w:tcBorders>
            <w:shd w:val="clear" w:color="auto" w:fill="E7E6E6"/>
          </w:tcPr>
          <w:p>
            <w:pPr>
              <w:pStyle w:val="TableParagraph"/>
              <w:rPr>
                <w:rFonts w:ascii="Times New Roman"/>
                <w:sz w:val="18"/>
              </w:rPr>
            </w:pPr>
          </w:p>
        </w:tc>
        <w:tc>
          <w:tcPr>
            <w:tcW w:w="1695" w:type="dxa"/>
            <w:tcBorders>
              <w:top w:val="single" w:sz="4" w:space="0" w:color="000000"/>
              <w:left w:val="nil"/>
              <w:bottom w:val="single" w:sz="4" w:space="0" w:color="000000"/>
              <w:right w:val="nil"/>
            </w:tcBorders>
            <w:shd w:val="clear" w:color="auto" w:fill="E7E6E6"/>
          </w:tcPr>
          <w:p>
            <w:pPr>
              <w:pStyle w:val="TableParagraph"/>
              <w:spacing w:line="194" w:lineRule="exact"/>
              <w:ind w:left="117"/>
              <w:rPr>
                <w:b/>
                <w:sz w:val="16"/>
              </w:rPr>
            </w:pPr>
            <w:r>
              <w:rPr>
                <w:b/>
                <w:sz w:val="16"/>
              </w:rPr>
              <w:t>Diagnostic test</w:t>
            </w:r>
          </w:p>
        </w:tc>
        <w:tc>
          <w:tcPr>
            <w:tcW w:w="1700" w:type="dxa"/>
            <w:tcBorders>
              <w:top w:val="single" w:sz="4" w:space="0" w:color="000000"/>
              <w:left w:val="nil"/>
              <w:bottom w:val="single" w:sz="4" w:space="0" w:color="000000"/>
              <w:right w:val="nil"/>
            </w:tcBorders>
            <w:shd w:val="clear" w:color="auto" w:fill="E7E6E6"/>
          </w:tcPr>
          <w:p>
            <w:pPr>
              <w:pStyle w:val="TableParagraph"/>
              <w:spacing w:line="194" w:lineRule="exact"/>
              <w:ind w:left="121"/>
              <w:rPr>
                <w:b/>
                <w:sz w:val="16"/>
              </w:rPr>
            </w:pPr>
            <w:r>
              <w:rPr>
                <w:b/>
                <w:sz w:val="16"/>
              </w:rPr>
              <w:t>Test purpose</w:t>
            </w:r>
          </w:p>
        </w:tc>
        <w:tc>
          <w:tcPr>
            <w:tcW w:w="1280" w:type="dxa"/>
            <w:tcBorders>
              <w:top w:val="single" w:sz="4" w:space="0" w:color="000000"/>
              <w:left w:val="nil"/>
              <w:bottom w:val="single" w:sz="4" w:space="0" w:color="000000"/>
              <w:right w:val="nil"/>
            </w:tcBorders>
            <w:shd w:val="clear" w:color="auto" w:fill="E7E6E6"/>
          </w:tcPr>
          <w:p>
            <w:pPr>
              <w:pStyle w:val="TableParagraph"/>
              <w:spacing w:line="194" w:lineRule="exact"/>
              <w:ind w:left="123"/>
              <w:rPr>
                <w:b/>
                <w:sz w:val="16"/>
              </w:rPr>
            </w:pPr>
            <w:r>
              <w:rPr>
                <w:b/>
                <w:sz w:val="16"/>
              </w:rPr>
              <w:t>Assay format</w:t>
            </w:r>
          </w:p>
        </w:tc>
        <w:tc>
          <w:tcPr>
            <w:tcW w:w="1722" w:type="dxa"/>
            <w:tcBorders>
              <w:top w:val="single" w:sz="4" w:space="0" w:color="000000"/>
              <w:left w:val="nil"/>
              <w:bottom w:val="single" w:sz="4" w:space="0" w:color="000000"/>
              <w:right w:val="nil"/>
            </w:tcBorders>
            <w:shd w:val="clear" w:color="auto" w:fill="E7E6E6"/>
          </w:tcPr>
          <w:p>
            <w:pPr>
              <w:pStyle w:val="TableParagraph"/>
              <w:spacing w:line="194" w:lineRule="exact"/>
              <w:ind w:left="120"/>
              <w:rPr>
                <w:b/>
                <w:sz w:val="16"/>
              </w:rPr>
            </w:pPr>
            <w:r>
              <w:rPr>
                <w:b/>
                <w:sz w:val="16"/>
              </w:rPr>
              <w:t>Specimen type</w:t>
            </w:r>
          </w:p>
        </w:tc>
        <w:tc>
          <w:tcPr>
            <w:tcW w:w="2551" w:type="dxa"/>
            <w:tcBorders>
              <w:top w:val="single" w:sz="4" w:space="0" w:color="000000"/>
              <w:left w:val="nil"/>
              <w:bottom w:val="single" w:sz="4" w:space="0" w:color="000000"/>
              <w:right w:val="nil"/>
            </w:tcBorders>
            <w:shd w:val="clear" w:color="auto" w:fill="E7E6E6"/>
          </w:tcPr>
          <w:p>
            <w:pPr>
              <w:pStyle w:val="TableParagraph"/>
              <w:ind w:left="117" w:right="374"/>
              <w:rPr>
                <w:b/>
                <w:sz w:val="16"/>
              </w:rPr>
            </w:pPr>
            <w:r>
              <w:rPr>
                <w:b/>
                <w:sz w:val="16"/>
              </w:rPr>
              <w:t>WHO prequalified or endorsed products</w:t>
            </w:r>
          </w:p>
        </w:tc>
        <w:tc>
          <w:tcPr>
            <w:tcW w:w="4111" w:type="dxa"/>
            <w:tcBorders>
              <w:top w:val="single" w:sz="4" w:space="0" w:color="000000"/>
              <w:left w:val="nil"/>
              <w:bottom w:val="single" w:sz="4" w:space="0" w:color="000000"/>
            </w:tcBorders>
            <w:shd w:val="clear" w:color="auto" w:fill="E7E6E6"/>
          </w:tcPr>
          <w:p>
            <w:pPr>
              <w:pStyle w:val="TableParagraph"/>
              <w:spacing w:line="194" w:lineRule="exact"/>
              <w:ind w:left="118"/>
              <w:rPr>
                <w:b/>
                <w:sz w:val="16"/>
              </w:rPr>
            </w:pPr>
            <w:r>
              <w:rPr>
                <w:b/>
                <w:sz w:val="16"/>
              </w:rPr>
              <w:t>WHO supporting documents</w:t>
            </w:r>
          </w:p>
        </w:tc>
      </w:tr>
      <w:tr>
        <w:trPr>
          <w:trHeight w:val="1099" w:hRule="atLeast"/>
        </w:trPr>
        <w:tc>
          <w:tcPr>
            <w:tcW w:w="956" w:type="dxa"/>
            <w:tcBorders>
              <w:top w:val="single" w:sz="4" w:space="0" w:color="000000"/>
              <w:bottom w:val="nil"/>
              <w:right w:val="nil"/>
            </w:tcBorders>
          </w:tcPr>
          <w:p>
            <w:pPr>
              <w:pStyle w:val="TableParagraph"/>
              <w:spacing w:line="219" w:lineRule="exact"/>
              <w:ind w:left="107"/>
              <w:rPr>
                <w:sz w:val="18"/>
              </w:rPr>
            </w:pPr>
            <w:r>
              <w:rPr>
                <w:sz w:val="18"/>
              </w:rPr>
              <w:t>Syphilis</w:t>
            </w:r>
          </w:p>
        </w:tc>
        <w:tc>
          <w:tcPr>
            <w:tcW w:w="1695" w:type="dxa"/>
            <w:tcBorders>
              <w:top w:val="single" w:sz="4" w:space="0" w:color="000000"/>
              <w:left w:val="nil"/>
              <w:bottom w:val="single" w:sz="4" w:space="0" w:color="000000"/>
              <w:right w:val="nil"/>
            </w:tcBorders>
          </w:tcPr>
          <w:p>
            <w:pPr>
              <w:pStyle w:val="TableParagraph"/>
              <w:ind w:left="117" w:right="409"/>
              <w:rPr>
                <w:i/>
                <w:sz w:val="18"/>
              </w:rPr>
            </w:pPr>
            <w:r>
              <w:rPr>
                <w:sz w:val="18"/>
              </w:rPr>
              <w:t>Antibodies to </w:t>
            </w:r>
            <w:r>
              <w:rPr>
                <w:i/>
                <w:sz w:val="18"/>
              </w:rPr>
              <w:t>Treponema </w:t>
            </w:r>
            <w:r>
              <w:rPr>
                <w:i/>
                <w:sz w:val="18"/>
              </w:rPr>
              <w:t>pallidum</w:t>
            </w:r>
          </w:p>
        </w:tc>
        <w:tc>
          <w:tcPr>
            <w:tcW w:w="1700" w:type="dxa"/>
            <w:tcBorders>
              <w:top w:val="single" w:sz="4" w:space="0" w:color="000000"/>
              <w:left w:val="nil"/>
              <w:bottom w:val="single" w:sz="4" w:space="0" w:color="000000"/>
              <w:right w:val="nil"/>
            </w:tcBorders>
          </w:tcPr>
          <w:p>
            <w:pPr>
              <w:pStyle w:val="TableParagraph"/>
              <w:ind w:left="121" w:right="116"/>
              <w:rPr>
                <w:i/>
                <w:sz w:val="18"/>
              </w:rPr>
            </w:pPr>
            <w:r>
              <w:rPr>
                <w:sz w:val="18"/>
              </w:rPr>
              <w:t>For the diagnosis or as an aid in the diagnosis of </w:t>
            </w:r>
            <w:r>
              <w:rPr>
                <w:i/>
                <w:sz w:val="18"/>
              </w:rPr>
              <w:t>T. </w:t>
            </w:r>
            <w:r>
              <w:rPr>
                <w:i/>
                <w:sz w:val="18"/>
              </w:rPr>
              <w:t>pallidum</w:t>
            </w:r>
          </w:p>
        </w:tc>
        <w:tc>
          <w:tcPr>
            <w:tcW w:w="1280" w:type="dxa"/>
            <w:tcBorders>
              <w:top w:val="single" w:sz="4" w:space="0" w:color="000000"/>
              <w:left w:val="nil"/>
              <w:bottom w:val="nil"/>
              <w:right w:val="nil"/>
            </w:tcBorders>
          </w:tcPr>
          <w:p>
            <w:pPr>
              <w:pStyle w:val="TableParagraph"/>
              <w:spacing w:line="219" w:lineRule="exact"/>
              <w:ind w:left="123"/>
              <w:rPr>
                <w:sz w:val="18"/>
              </w:rPr>
            </w:pPr>
            <w:r>
              <w:rPr>
                <w:sz w:val="18"/>
              </w:rPr>
              <w:t>RDT</w:t>
            </w:r>
          </w:p>
        </w:tc>
        <w:tc>
          <w:tcPr>
            <w:tcW w:w="1722" w:type="dxa"/>
            <w:tcBorders>
              <w:top w:val="single" w:sz="4" w:space="0" w:color="000000"/>
              <w:left w:val="nil"/>
              <w:bottom w:val="nil"/>
              <w:right w:val="nil"/>
            </w:tcBorders>
          </w:tcPr>
          <w:p>
            <w:pPr>
              <w:pStyle w:val="TableParagraph"/>
              <w:ind w:left="120" w:right="461"/>
              <w:rPr>
                <w:sz w:val="18"/>
              </w:rPr>
            </w:pPr>
            <w:r>
              <w:rPr>
                <w:sz w:val="18"/>
              </w:rPr>
              <w:t>Capillary whole blood</w:t>
            </w:r>
          </w:p>
        </w:tc>
        <w:tc>
          <w:tcPr>
            <w:tcW w:w="2551" w:type="dxa"/>
            <w:tcBorders>
              <w:top w:val="single" w:sz="4" w:space="0" w:color="000000"/>
              <w:left w:val="nil"/>
              <w:bottom w:val="single" w:sz="4" w:space="0" w:color="000000"/>
              <w:right w:val="nil"/>
            </w:tcBorders>
          </w:tcPr>
          <w:p>
            <w:pPr>
              <w:pStyle w:val="TableParagraph"/>
              <w:ind w:left="117" w:right="131"/>
              <w:jc w:val="both"/>
              <w:rPr>
                <w:sz w:val="18"/>
              </w:rPr>
            </w:pPr>
            <w:hyperlink r:id="rId128">
              <w:r>
                <w:rPr>
                  <w:color w:val="0462C1"/>
                  <w:sz w:val="18"/>
                  <w:u w:val="single" w:color="0462C1"/>
                </w:rPr>
                <w:t>http://www.who.int/diagnostic</w:t>
              </w:r>
            </w:hyperlink>
            <w:r>
              <w:rPr>
                <w:color w:val="0462C1"/>
                <w:sz w:val="18"/>
              </w:rPr>
              <w:t> </w:t>
            </w:r>
            <w:hyperlink r:id="rId128">
              <w:r>
                <w:rPr>
                  <w:color w:val="0462C1"/>
                  <w:sz w:val="18"/>
                  <w:u w:val="single" w:color="0462C1"/>
                </w:rPr>
                <w:t>s_laboratory/evaluations/PQ_li</w:t>
              </w:r>
            </w:hyperlink>
            <w:r>
              <w:rPr>
                <w:color w:val="0462C1"/>
                <w:sz w:val="18"/>
              </w:rPr>
              <w:t> </w:t>
            </w:r>
            <w:hyperlink r:id="rId128">
              <w:r>
                <w:rPr>
                  <w:color w:val="0462C1"/>
                  <w:sz w:val="18"/>
                  <w:u w:val="single" w:color="0462C1"/>
                </w:rPr>
                <w:t>st/en/</w:t>
              </w:r>
            </w:hyperlink>
          </w:p>
        </w:tc>
        <w:tc>
          <w:tcPr>
            <w:tcW w:w="4111" w:type="dxa"/>
            <w:tcBorders>
              <w:top w:val="single" w:sz="4" w:space="0" w:color="000000"/>
              <w:left w:val="nil"/>
              <w:bottom w:val="single" w:sz="4" w:space="0" w:color="000000"/>
            </w:tcBorders>
          </w:tcPr>
          <w:p>
            <w:pPr>
              <w:pStyle w:val="TableParagraph"/>
              <w:ind w:left="118"/>
              <w:rPr>
                <w:sz w:val="18"/>
              </w:rPr>
            </w:pPr>
            <w:r>
              <w:rPr>
                <w:sz w:val="18"/>
              </w:rPr>
              <w:t>WHO laboratory diagnosis of sexually transmitted infections, including human immunodeficiency virus (2013)</w:t>
            </w:r>
          </w:p>
          <w:p>
            <w:pPr>
              <w:pStyle w:val="TableParagraph"/>
              <w:spacing w:line="219" w:lineRule="exact"/>
              <w:ind w:left="118"/>
              <w:rPr>
                <w:sz w:val="18"/>
              </w:rPr>
            </w:pPr>
            <w:hyperlink r:id="rId129">
              <w:r>
                <w:rPr>
                  <w:color w:val="0462C1"/>
                  <w:sz w:val="18"/>
                  <w:u w:val="single" w:color="0462C1"/>
                </w:rPr>
                <w:t>http://apps.who.int/iris/bitstream/handle/10665/85</w:t>
              </w:r>
            </w:hyperlink>
          </w:p>
          <w:p>
            <w:pPr>
              <w:pStyle w:val="TableParagraph"/>
              <w:spacing w:line="201" w:lineRule="exact"/>
              <w:ind w:left="118"/>
              <w:rPr>
                <w:sz w:val="18"/>
              </w:rPr>
            </w:pPr>
            <w:hyperlink r:id="rId129">
              <w:r>
                <w:rPr>
                  <w:color w:val="0462C1"/>
                  <w:sz w:val="18"/>
                </w:rPr>
                <w:t>343/9789241505840_eng.pdf?sequence=1</w:t>
              </w:r>
            </w:hyperlink>
          </w:p>
        </w:tc>
      </w:tr>
      <w:tr>
        <w:trPr>
          <w:trHeight w:val="880" w:hRule="atLeast"/>
        </w:trPr>
        <w:tc>
          <w:tcPr>
            <w:tcW w:w="956" w:type="dxa"/>
            <w:tcBorders>
              <w:top w:val="nil"/>
              <w:right w:val="nil"/>
            </w:tcBorders>
          </w:tcPr>
          <w:p>
            <w:pPr>
              <w:pStyle w:val="TableParagraph"/>
              <w:ind w:left="945" w:right="-58"/>
              <w:rPr>
                <w:rFonts w:ascii="Times New Roman"/>
                <w:sz w:val="20"/>
              </w:rPr>
            </w:pPr>
            <w:r>
              <w:rPr>
                <w:rFonts w:ascii="Times New Roman"/>
                <w:sz w:val="20"/>
              </w:rPr>
              <w:drawing>
                <wp:inline distT="0" distB="0" distL="0" distR="0">
                  <wp:extent cx="6052" cy="555307"/>
                  <wp:effectExtent l="0" t="0" r="0" b="0"/>
                  <wp:docPr id="15" name="image74.png" descr=""/>
                  <wp:cNvGraphicFramePr>
                    <a:graphicFrameLocks noChangeAspect="1"/>
                  </wp:cNvGraphicFramePr>
                  <a:graphic>
                    <a:graphicData uri="http://schemas.openxmlformats.org/drawingml/2006/picture">
                      <pic:pic>
                        <pic:nvPicPr>
                          <pic:cNvPr id="16" name="image74.png"/>
                          <pic:cNvPicPr/>
                        </pic:nvPicPr>
                        <pic:blipFill>
                          <a:blip r:embed="rId124" cstate="print"/>
                          <a:stretch>
                            <a:fillRect/>
                          </a:stretch>
                        </pic:blipFill>
                        <pic:spPr>
                          <a:xfrm>
                            <a:off x="0" y="0"/>
                            <a:ext cx="6052" cy="555307"/>
                          </a:xfrm>
                          <a:prstGeom prst="rect">
                            <a:avLst/>
                          </a:prstGeom>
                        </pic:spPr>
                      </pic:pic>
                    </a:graphicData>
                  </a:graphic>
                </wp:inline>
              </w:drawing>
            </w:r>
            <w:r>
              <w:rPr>
                <w:rFonts w:ascii="Times New Roman"/>
                <w:sz w:val="20"/>
              </w:rPr>
            </w:r>
          </w:p>
        </w:tc>
        <w:tc>
          <w:tcPr>
            <w:tcW w:w="1695" w:type="dxa"/>
            <w:tcBorders>
              <w:top w:val="single" w:sz="4" w:space="0" w:color="000000"/>
              <w:left w:val="nil"/>
              <w:right w:val="nil"/>
            </w:tcBorders>
          </w:tcPr>
          <w:p>
            <w:pPr>
              <w:pStyle w:val="TableParagraph"/>
              <w:ind w:left="117" w:right="409"/>
              <w:rPr>
                <w:sz w:val="18"/>
              </w:rPr>
            </w:pPr>
            <w:r>
              <w:rPr>
                <w:sz w:val="18"/>
              </w:rPr>
              <w:t>Combined antibodies to </w:t>
            </w:r>
            <w:r>
              <w:rPr>
                <w:i/>
                <w:sz w:val="18"/>
              </w:rPr>
              <w:t>T. </w:t>
            </w:r>
            <w:r>
              <w:rPr>
                <w:i/>
                <w:sz w:val="18"/>
              </w:rPr>
              <w:t>pallidum </w:t>
            </w:r>
            <w:r>
              <w:rPr>
                <w:sz w:val="18"/>
              </w:rPr>
              <w:t>and to</w:t>
            </w:r>
          </w:p>
          <w:p>
            <w:pPr>
              <w:pStyle w:val="TableParagraph"/>
              <w:spacing w:line="202" w:lineRule="exact"/>
              <w:ind w:left="117"/>
              <w:rPr>
                <w:sz w:val="18"/>
              </w:rPr>
            </w:pPr>
            <w:r>
              <w:rPr>
                <w:sz w:val="18"/>
              </w:rPr>
              <w:t>HIV-1/2 (anti-HIV)</w:t>
            </w:r>
          </w:p>
        </w:tc>
        <w:tc>
          <w:tcPr>
            <w:tcW w:w="1700" w:type="dxa"/>
            <w:tcBorders>
              <w:top w:val="single" w:sz="4" w:space="0" w:color="000000"/>
              <w:left w:val="nil"/>
              <w:right w:val="nil"/>
            </w:tcBorders>
          </w:tcPr>
          <w:p>
            <w:pPr>
              <w:pStyle w:val="TableParagraph"/>
              <w:ind w:left="121" w:right="82"/>
              <w:rPr>
                <w:sz w:val="18"/>
              </w:rPr>
            </w:pPr>
            <w:r>
              <w:rPr>
                <w:sz w:val="18"/>
              </w:rPr>
              <w:t>For diagnosis or as an aid in the diagnosis of HIV-1/2</w:t>
            </w:r>
          </w:p>
          <w:p>
            <w:pPr>
              <w:pStyle w:val="TableParagraph"/>
              <w:spacing w:line="202" w:lineRule="exact"/>
              <w:ind w:left="121"/>
              <w:rPr>
                <w:i/>
                <w:sz w:val="18"/>
              </w:rPr>
            </w:pPr>
            <w:r>
              <w:rPr>
                <w:sz w:val="18"/>
              </w:rPr>
              <w:t>and/or </w:t>
            </w:r>
            <w:r>
              <w:rPr>
                <w:i/>
                <w:sz w:val="18"/>
              </w:rPr>
              <w:t>T. pallidum</w:t>
            </w:r>
          </w:p>
        </w:tc>
        <w:tc>
          <w:tcPr>
            <w:tcW w:w="1280" w:type="dxa"/>
            <w:tcBorders>
              <w:top w:val="nil"/>
              <w:left w:val="nil"/>
              <w:right w:val="nil"/>
            </w:tcBorders>
          </w:tcPr>
          <w:p>
            <w:pPr>
              <w:pStyle w:val="TableParagraph"/>
              <w:spacing w:line="219" w:lineRule="exact"/>
              <w:ind w:left="123"/>
              <w:rPr>
                <w:sz w:val="18"/>
              </w:rPr>
            </w:pPr>
            <w:r>
              <w:rPr>
                <w:sz w:val="18"/>
              </w:rPr>
              <w:t>RDT</w:t>
            </w:r>
          </w:p>
        </w:tc>
        <w:tc>
          <w:tcPr>
            <w:tcW w:w="1722" w:type="dxa"/>
            <w:tcBorders>
              <w:top w:val="nil"/>
              <w:left w:val="nil"/>
              <w:right w:val="nil"/>
            </w:tcBorders>
          </w:tcPr>
          <w:p>
            <w:pPr>
              <w:pStyle w:val="TableParagraph"/>
              <w:ind w:left="120" w:right="461"/>
              <w:rPr>
                <w:sz w:val="18"/>
              </w:rPr>
            </w:pPr>
            <w:r>
              <w:rPr>
                <w:sz w:val="18"/>
              </w:rPr>
              <w:t>Capillary whole blood</w:t>
            </w:r>
          </w:p>
        </w:tc>
        <w:tc>
          <w:tcPr>
            <w:tcW w:w="2551" w:type="dxa"/>
            <w:tcBorders>
              <w:top w:val="single" w:sz="4" w:space="0" w:color="000000"/>
              <w:left w:val="nil"/>
              <w:right w:val="nil"/>
            </w:tcBorders>
          </w:tcPr>
          <w:p>
            <w:pPr>
              <w:pStyle w:val="TableParagraph"/>
              <w:ind w:left="117" w:right="131"/>
              <w:rPr>
                <w:sz w:val="18"/>
              </w:rPr>
            </w:pPr>
            <w:hyperlink r:id="rId96">
              <w:r>
                <w:rPr>
                  <w:color w:val="0462C1"/>
                  <w:sz w:val="18"/>
                  <w:u w:val="single" w:color="0462C1"/>
                </w:rPr>
                <w:t>http://www.who.int/diagnostic</w:t>
              </w:r>
            </w:hyperlink>
            <w:r>
              <w:rPr>
                <w:color w:val="0462C1"/>
                <w:sz w:val="18"/>
              </w:rPr>
              <w:t> </w:t>
            </w:r>
            <w:hyperlink r:id="rId96">
              <w:r>
                <w:rPr>
                  <w:color w:val="0462C1"/>
                  <w:sz w:val="18"/>
                  <w:u w:val="single" w:color="0462C1"/>
                </w:rPr>
                <w:t>s_laboratory/evaluations/pq-</w:t>
              </w:r>
            </w:hyperlink>
            <w:r>
              <w:rPr>
                <w:color w:val="0462C1"/>
                <w:sz w:val="18"/>
              </w:rPr>
              <w:t> </w:t>
            </w:r>
            <w:hyperlink r:id="rId96">
              <w:r>
                <w:rPr>
                  <w:color w:val="0462C1"/>
                  <w:sz w:val="18"/>
                  <w:u w:val="single" w:color="0462C1"/>
                </w:rPr>
                <w:t>list/hiv-rdts/public_report/en/</w:t>
              </w:r>
            </w:hyperlink>
          </w:p>
        </w:tc>
        <w:tc>
          <w:tcPr>
            <w:tcW w:w="4111" w:type="dxa"/>
            <w:tcBorders>
              <w:top w:val="single" w:sz="4" w:space="0" w:color="000000"/>
              <w:left w:val="nil"/>
            </w:tcBorders>
          </w:tcPr>
          <w:p>
            <w:pPr>
              <w:pStyle w:val="TableParagraph"/>
              <w:ind w:left="118" w:right="98"/>
              <w:rPr>
                <w:sz w:val="18"/>
              </w:rPr>
            </w:pPr>
            <w:r>
              <w:rPr>
                <w:sz w:val="18"/>
              </w:rPr>
              <w:t>WHO Information note on the use of dual HIV/syphilis rapid diagnostic tests (RDT) (2017) </w:t>
            </w:r>
            <w:hyperlink r:id="rId130">
              <w:r>
                <w:rPr>
                  <w:color w:val="0462C1"/>
                  <w:sz w:val="18"/>
                  <w:u w:val="single" w:color="0462C1"/>
                </w:rPr>
                <w:t>http://apps.who.int/iris/bitstream/handle/10665/25</w:t>
              </w:r>
            </w:hyperlink>
          </w:p>
          <w:p>
            <w:pPr>
              <w:pStyle w:val="TableParagraph"/>
              <w:spacing w:line="202" w:lineRule="exact"/>
              <w:ind w:left="118"/>
              <w:rPr>
                <w:sz w:val="18"/>
              </w:rPr>
            </w:pPr>
            <w:hyperlink r:id="rId130">
              <w:r>
                <w:rPr>
                  <w:color w:val="0462C1"/>
                  <w:sz w:val="18"/>
                  <w:u w:val="single" w:color="0462C1"/>
                </w:rPr>
                <w:t>2849/WHO-RHR-17.01-eng.pdf?sequence=1</w:t>
              </w:r>
            </w:hyperlink>
          </w:p>
        </w:tc>
      </w:tr>
    </w:tbl>
    <w:p>
      <w:pPr>
        <w:spacing w:after="0" w:line="202" w:lineRule="exact"/>
        <w:rPr>
          <w:sz w:val="18"/>
        </w:rPr>
        <w:sectPr>
          <w:headerReference w:type="default" r:id="rId121"/>
          <w:footerReference w:type="default" r:id="rId122"/>
          <w:pgSz w:w="16840" w:h="11910" w:orient="landscape"/>
          <w:pgMar w:header="0" w:footer="495" w:top="1100" w:bottom="680" w:left="1180" w:right="920"/>
          <w:pgNumType w:start="15"/>
        </w:sectPr>
      </w:pPr>
    </w:p>
    <w:p>
      <w:pPr>
        <w:pStyle w:val="BodyText"/>
        <w:spacing w:before="9"/>
        <w:rPr>
          <w:rFonts w:ascii="Times New Roman"/>
          <w:sz w:val="25"/>
        </w:rPr>
      </w:pPr>
      <w:r>
        <w:rPr/>
        <w:pict>
          <v:group style="position:absolute;margin-left:228.740005pt;margin-top:341.710022pt;width:.5pt;height:55.95pt;mso-position-horizontal-relative:page;mso-position-vertical-relative:page;z-index:-123784" coordorigin="4575,6834" coordsize="10,1119">
            <v:shape style="position:absolute;left:4574;top:6834;width:10;height:10" type="#_x0000_t75" stroked="false">
              <v:imagedata r:id="rId61" o:title=""/>
            </v:shape>
            <v:shape style="position:absolute;left:4574;top:6843;width:10;height:670" type="#_x0000_t75" stroked="false">
              <v:imagedata r:id="rId133" o:title=""/>
            </v:shape>
            <v:shape style="position:absolute;left:4574;top:7513;width:10;height:440" type="#_x0000_t75" stroked="false">
              <v:imagedata r:id="rId134" o:title=""/>
            </v:shape>
            <w10:wrap type="none"/>
          </v:group>
        </w:pict>
      </w:r>
      <w:r>
        <w:rPr/>
        <w:pict>
          <v:group style="position:absolute;margin-left:228.740005pt;margin-top:398.540375pt;width:.5pt;height:66.1pt;mso-position-horizontal-relative:page;mso-position-vertical-relative:page;z-index:-123760" coordorigin="4575,7971" coordsize="10,1322">
            <v:shape style="position:absolute;left:4574;top:7970;width:10;height:873" type="#_x0000_t75" stroked="false">
              <v:imagedata r:id="rId135" o:title=""/>
            </v:shape>
            <v:shape style="position:absolute;left:4574;top:8843;width:10;height:10" type="#_x0000_t75" stroked="false">
              <v:imagedata r:id="rId61" o:title=""/>
            </v:shape>
            <v:shape style="position:absolute;left:4574;top:8853;width:10;height:440" type="#_x0000_t75" stroked="false">
              <v:imagedata r:id="rId136" o:title=""/>
            </v:shape>
            <w10:wrap type="none"/>
          </v:group>
        </w:pict>
      </w:r>
      <w:r>
        <w:rPr/>
        <w:pict>
          <v:group style="position:absolute;margin-left:483.910004pt;margin-top:398.541077pt;width:.5pt;height:66.1pt;mso-position-horizontal-relative:page;mso-position-vertical-relative:page;z-index:-123736" coordorigin="9678,7971" coordsize="10,1322">
            <v:shape style="position:absolute;left:9678;top:7970;width:10;height:883" type="#_x0000_t75" stroked="false">
              <v:imagedata r:id="rId137" o:title=""/>
            </v:shape>
            <v:shape style="position:absolute;left:9678;top:8853;width:10;height:440" type="#_x0000_t75" stroked="false">
              <v:imagedata r:id="rId136" o:title=""/>
            </v:shape>
            <w10:wrap type="none"/>
          </v:group>
        </w:pict>
      </w:r>
    </w:p>
    <w:p>
      <w:pPr>
        <w:pStyle w:val="Heading2"/>
        <w:numPr>
          <w:ilvl w:val="0"/>
          <w:numId w:val="5"/>
        </w:numPr>
        <w:tabs>
          <w:tab w:pos="1574" w:val="left" w:leader="none"/>
        </w:tabs>
        <w:spacing w:line="391" w:lineRule="exact" w:before="35" w:after="0"/>
        <w:ind w:left="1573" w:right="0" w:hanging="235"/>
        <w:jc w:val="left"/>
      </w:pPr>
      <w:bookmarkStart w:name="_bookmark6" w:id="8"/>
      <w:bookmarkEnd w:id="8"/>
      <w:r>
        <w:rPr/>
      </w:r>
      <w:bookmarkStart w:name="_bookmark6" w:id="9"/>
      <w:bookmarkEnd w:id="9"/>
      <w:r>
        <w:rPr/>
        <w:t>L</w:t>
      </w:r>
      <w:r>
        <w:rPr/>
        <w:t>ist of Essential In Vitro Diagnostics (EDL): For health care facilities with clinical</w:t>
      </w:r>
      <w:r>
        <w:rPr>
          <w:spacing w:val="-33"/>
        </w:rPr>
        <w:t> </w:t>
      </w:r>
      <w:r>
        <w:rPr/>
        <w:t>laboratories</w:t>
      </w:r>
    </w:p>
    <w:p>
      <w:pPr>
        <w:pStyle w:val="BodyText"/>
        <w:ind w:left="1340"/>
      </w:pPr>
      <w:r>
        <w:rPr/>
        <w:t>This list includes district, regional, provincial or specialized hospitals or laboratories and national reference laboratories.</w:t>
      </w:r>
    </w:p>
    <w:p>
      <w:pPr>
        <w:pStyle w:val="BodyText"/>
        <w:ind w:left="1340" w:right="1736"/>
      </w:pPr>
      <w:r>
        <w:rPr/>
        <w:t>Trained laboratory technicians, specialist expertise and laboratory infrastructure/equipment are available at the appropriate level. Note: All diagnostic tests available at the primary care level are assumed to be available at higher levels as appropriate.</w:t>
      </w:r>
    </w:p>
    <w:p>
      <w:pPr>
        <w:pStyle w:val="BodyText"/>
        <w:spacing w:line="267" w:lineRule="exact"/>
        <w:ind w:left="1340"/>
      </w:pPr>
      <w:r>
        <w:rPr/>
        <w:pict>
          <v:group style="position:absolute;margin-left:136.580002pt;margin-top:76.168175pt;width:.5pt;height:256.75pt;mso-position-horizontal-relative:page;mso-position-vertical-relative:paragraph;z-index:-123856" coordorigin="2732,1523" coordsize="10,5135">
            <v:shape style="position:absolute;left:2731;top:1523;width:10;height:670" type="#_x0000_t75" stroked="false">
              <v:imagedata r:id="rId138" o:title=""/>
            </v:shape>
            <v:shape style="position:absolute;left:2731;top:2192;width:10;height:668" type="#_x0000_t75" stroked="false">
              <v:imagedata r:id="rId139" o:title=""/>
            </v:shape>
            <v:shape style="position:absolute;left:2731;top:2860;width:10;height:452" type="#_x0000_t75" stroked="false">
              <v:imagedata r:id="rId140" o:title=""/>
            </v:shape>
            <v:shape style="position:absolute;left:2731;top:3311;width:10;height:449" type="#_x0000_t75" stroked="false">
              <v:imagedata r:id="rId46" o:title=""/>
            </v:shape>
            <v:shape style="position:absolute;left:2731;top:3760;width:10;height:449" type="#_x0000_t75" stroked="false">
              <v:imagedata r:id="rId141" o:title=""/>
            </v:shape>
            <v:shape style="position:absolute;left:2731;top:4209;width:10;height:670" type="#_x0000_t75" stroked="false">
              <v:imagedata r:id="rId142" o:title=""/>
            </v:shape>
            <v:shape style="position:absolute;left:2731;top:4878;width:10;height:450" type="#_x0000_t75" stroked="false">
              <v:imagedata r:id="rId143" o:title=""/>
            </v:shape>
            <v:shape style="position:absolute;left:2731;top:5328;width:10;height:891" type="#_x0000_t75" stroked="false">
              <v:imagedata r:id="rId144" o:title=""/>
            </v:shape>
            <v:shape style="position:absolute;left:2731;top:6218;width:10;height:440" type="#_x0000_t75" stroked="false">
              <v:imagedata r:id="rId136" o:title=""/>
            </v:shape>
            <w10:wrap type="none"/>
          </v:group>
        </w:pict>
      </w:r>
      <w:r>
        <w:rPr/>
        <w:pict>
          <v:group style="position:absolute;margin-left:228.740005pt;margin-top:109.168198pt;width:.5pt;height:100.85pt;mso-position-horizontal-relative:page;mso-position-vertical-relative:paragraph;z-index:-123832" coordorigin="4575,2183" coordsize="10,2017">
            <v:shape style="position:absolute;left:4574;top:2183;width:10;height:10" type="#_x0000_t75" stroked="false">
              <v:imagedata r:id="rId61" o:title=""/>
            </v:shape>
            <v:shape style="position:absolute;left:4574;top:2192;width:10;height:658" type="#_x0000_t75" stroked="false">
              <v:imagedata r:id="rId145" o:title=""/>
            </v:shape>
            <v:shape style="position:absolute;left:4574;top:2850;width:10;height:10" type="#_x0000_t75" stroked="false">
              <v:imagedata r:id="rId61" o:title=""/>
            </v:shape>
            <v:shape style="position:absolute;left:4574;top:2860;width:10;height:442" type="#_x0000_t75" stroked="false">
              <v:imagedata r:id="rId146" o:title=""/>
            </v:shape>
            <v:shape style="position:absolute;left:4574;top:3302;width:10;height:10" type="#_x0000_t75" stroked="false">
              <v:imagedata r:id="rId61" o:title=""/>
            </v:shape>
            <v:shape style="position:absolute;left:4574;top:3311;width:10;height:440" type="#_x0000_t75" stroked="false">
              <v:imagedata r:id="rId58" o:title=""/>
            </v:shape>
            <v:shape style="position:absolute;left:4574;top:3750;width:10;height:10" type="#_x0000_t75" stroked="false">
              <v:imagedata r:id="rId61" o:title=""/>
            </v:shape>
            <v:shape style="position:absolute;left:4574;top:3760;width:10;height:440" type="#_x0000_t75" stroked="false">
              <v:imagedata r:id="rId147" o:title=""/>
            </v:shape>
            <w10:wrap type="none"/>
          </v:group>
        </w:pict>
      </w:r>
      <w:r>
        <w:rPr/>
        <w:pict>
          <v:group style="position:absolute;margin-left:483.910004pt;margin-top:76.168175pt;width:.5pt;height:190.25pt;mso-position-horizontal-relative:page;mso-position-vertical-relative:paragraph;z-index:-123808" coordorigin="9678,1523" coordsize="10,3805">
            <v:shape style="position:absolute;left:9678;top:1523;width:10;height:670" type="#_x0000_t75" stroked="false">
              <v:imagedata r:id="rId148" o:title=""/>
            </v:shape>
            <v:shape style="position:absolute;left:9678;top:2192;width:10;height:668" type="#_x0000_t75" stroked="false">
              <v:imagedata r:id="rId149" o:title=""/>
            </v:shape>
            <v:shape style="position:absolute;left:9678;top:2860;width:10;height:452" type="#_x0000_t75" stroked="false">
              <v:imagedata r:id="rId150" o:title=""/>
            </v:shape>
            <v:shape style="position:absolute;left:9678;top:3311;width:10;height:449" type="#_x0000_t75" stroked="false">
              <v:imagedata r:id="rId151" o:title=""/>
            </v:shape>
            <v:shape style="position:absolute;left:9678;top:3760;width:10;height:449" type="#_x0000_t75" stroked="false">
              <v:imagedata r:id="rId152" o:title=""/>
            </v:shape>
            <v:shape style="position:absolute;left:9678;top:4209;width:10;height:670" type="#_x0000_t75" stroked="false">
              <v:imagedata r:id="rId133" o:title=""/>
            </v:shape>
            <v:shape style="position:absolute;left:9678;top:4878;width:10;height:450" type="#_x0000_t75" stroked="false">
              <v:imagedata r:id="rId153" o:title=""/>
            </v:shape>
            <w10:wrap type="none"/>
          </v:group>
        </w:pict>
      </w:r>
      <w:r>
        <w:rPr/>
        <w:drawing>
          <wp:anchor distT="0" distB="0" distL="0" distR="0" allowOverlap="1" layoutInCell="1" locked="0" behindDoc="1" simplePos="0" relativeHeight="268311743">
            <wp:simplePos x="0" y="0"/>
            <wp:positionH relativeFrom="page">
              <wp:posOffset>8395461</wp:posOffset>
            </wp:positionH>
            <wp:positionV relativeFrom="paragraph">
              <wp:posOffset>677775</wp:posOffset>
            </wp:positionV>
            <wp:extent cx="6092" cy="3547872"/>
            <wp:effectExtent l="0" t="0" r="0" b="0"/>
            <wp:wrapNone/>
            <wp:docPr id="17" name="image99.png" descr=""/>
            <wp:cNvGraphicFramePr>
              <a:graphicFrameLocks noChangeAspect="1"/>
            </wp:cNvGraphicFramePr>
            <a:graphic>
              <a:graphicData uri="http://schemas.openxmlformats.org/drawingml/2006/picture">
                <pic:pic>
                  <pic:nvPicPr>
                    <pic:cNvPr id="18" name="image99.png"/>
                    <pic:cNvPicPr/>
                  </pic:nvPicPr>
                  <pic:blipFill>
                    <a:blip r:embed="rId154" cstate="print"/>
                    <a:stretch>
                      <a:fillRect/>
                    </a:stretch>
                  </pic:blipFill>
                  <pic:spPr>
                    <a:xfrm>
                      <a:off x="0" y="0"/>
                      <a:ext cx="6092" cy="3547872"/>
                    </a:xfrm>
                    <a:prstGeom prst="rect">
                      <a:avLst/>
                    </a:prstGeom>
                  </pic:spPr>
                </pic:pic>
              </a:graphicData>
            </a:graphic>
          </wp:anchor>
        </w:drawing>
      </w:r>
      <w:r>
        <w:rPr/>
        <w:t>The list includes: section a for general laboratory equipment; and section b tests for specific diseases.</w:t>
      </w:r>
    </w:p>
    <w:p>
      <w:pPr>
        <w:pStyle w:val="BodyText"/>
        <w:spacing w:before="3" w:after="1"/>
      </w:pPr>
    </w:p>
    <w:tbl>
      <w:tblPr>
        <w:tblW w:w="0" w:type="auto"/>
        <w:jc w:val="left"/>
        <w:tblInd w:w="1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09"/>
        <w:gridCol w:w="1837"/>
        <w:gridCol w:w="5104"/>
        <w:gridCol w:w="3542"/>
        <w:gridCol w:w="2268"/>
      </w:tblGrid>
      <w:tr>
        <w:trPr>
          <w:trHeight w:val="489" w:hRule="atLeast"/>
        </w:trPr>
        <w:tc>
          <w:tcPr>
            <w:tcW w:w="14160" w:type="dxa"/>
            <w:gridSpan w:val="5"/>
            <w:tcBorders>
              <w:bottom w:val="single" w:sz="4" w:space="0" w:color="000000"/>
            </w:tcBorders>
            <w:shd w:val="clear" w:color="auto" w:fill="E7E6E6"/>
          </w:tcPr>
          <w:p>
            <w:pPr>
              <w:pStyle w:val="TableParagraph"/>
              <w:spacing w:line="268" w:lineRule="exact"/>
              <w:ind w:left="107"/>
              <w:rPr>
                <w:b/>
                <w:sz w:val="22"/>
              </w:rPr>
            </w:pPr>
            <w:bookmarkStart w:name="_bookmark7" w:id="10"/>
            <w:bookmarkEnd w:id="10"/>
            <w:r>
              <w:rPr/>
            </w:r>
            <w:r>
              <w:rPr>
                <w:b/>
                <w:sz w:val="22"/>
              </w:rPr>
              <w:t>II.a General IVDs for health care facilities with clinical laboratories</w:t>
            </w:r>
          </w:p>
          <w:p>
            <w:pPr>
              <w:pStyle w:val="TableParagraph"/>
              <w:spacing w:line="199" w:lineRule="exact" w:before="2"/>
              <w:ind w:left="107"/>
              <w:rPr>
                <w:sz w:val="18"/>
              </w:rPr>
            </w:pPr>
            <w:r>
              <w:rPr>
                <w:sz w:val="18"/>
              </w:rPr>
              <w:t>Note: See list of WHO supporting documents at the end.</w:t>
            </w:r>
          </w:p>
        </w:tc>
      </w:tr>
      <w:tr>
        <w:trPr>
          <w:trHeight w:val="446" w:hRule="atLeast"/>
        </w:trPr>
        <w:tc>
          <w:tcPr>
            <w:tcW w:w="1409" w:type="dxa"/>
            <w:tcBorders>
              <w:top w:val="single" w:sz="4" w:space="0" w:color="000000"/>
              <w:bottom w:val="single" w:sz="4" w:space="0" w:color="000000"/>
              <w:right w:val="nil"/>
            </w:tcBorders>
            <w:shd w:val="clear" w:color="auto" w:fill="E7E6E6"/>
          </w:tcPr>
          <w:p>
            <w:pPr>
              <w:pStyle w:val="TableParagraph"/>
              <w:ind w:left="1399" w:right="-58"/>
              <w:rPr>
                <w:sz w:val="20"/>
              </w:rPr>
            </w:pPr>
            <w:r>
              <w:rPr>
                <w:sz w:val="20"/>
              </w:rPr>
              <w:drawing>
                <wp:inline distT="0" distB="0" distL="0" distR="0">
                  <wp:extent cx="5968" cy="277558"/>
                  <wp:effectExtent l="0" t="0" r="0" b="0"/>
                  <wp:docPr id="19" name="image100.png" descr=""/>
                  <wp:cNvGraphicFramePr>
                    <a:graphicFrameLocks noChangeAspect="1"/>
                  </wp:cNvGraphicFramePr>
                  <a:graphic>
                    <a:graphicData uri="http://schemas.openxmlformats.org/drawingml/2006/picture">
                      <pic:pic>
                        <pic:nvPicPr>
                          <pic:cNvPr id="20" name="image100.png"/>
                          <pic:cNvPicPr/>
                        </pic:nvPicPr>
                        <pic:blipFill>
                          <a:blip r:embed="rId155" cstate="print"/>
                          <a:stretch>
                            <a:fillRect/>
                          </a:stretch>
                        </pic:blipFill>
                        <pic:spPr>
                          <a:xfrm>
                            <a:off x="0" y="0"/>
                            <a:ext cx="5968" cy="277558"/>
                          </a:xfrm>
                          <a:prstGeom prst="rect">
                            <a:avLst/>
                          </a:prstGeom>
                        </pic:spPr>
                      </pic:pic>
                    </a:graphicData>
                  </a:graphic>
                </wp:inline>
              </w:drawing>
            </w:r>
            <w:r>
              <w:rPr>
                <w:sz w:val="20"/>
              </w:rPr>
            </w:r>
          </w:p>
        </w:tc>
        <w:tc>
          <w:tcPr>
            <w:tcW w:w="1837" w:type="dxa"/>
            <w:tcBorders>
              <w:top w:val="single" w:sz="4" w:space="0" w:color="000000"/>
              <w:left w:val="nil"/>
              <w:bottom w:val="single" w:sz="4" w:space="0" w:color="000000"/>
              <w:right w:val="nil"/>
            </w:tcBorders>
            <w:shd w:val="clear" w:color="auto" w:fill="E7E6E6"/>
          </w:tcPr>
          <w:p>
            <w:pPr>
              <w:pStyle w:val="TableParagraph"/>
              <w:spacing w:line="194" w:lineRule="exact"/>
              <w:ind w:left="117"/>
              <w:rPr>
                <w:b/>
                <w:sz w:val="16"/>
              </w:rPr>
            </w:pPr>
            <w:r>
              <w:rPr>
                <w:b/>
                <w:sz w:val="16"/>
              </w:rPr>
              <w:t>Diagnostic test</w:t>
            </w:r>
          </w:p>
        </w:tc>
        <w:tc>
          <w:tcPr>
            <w:tcW w:w="5104" w:type="dxa"/>
            <w:tcBorders>
              <w:top w:val="single" w:sz="4" w:space="0" w:color="000000"/>
              <w:left w:val="nil"/>
              <w:bottom w:val="single" w:sz="4" w:space="0" w:color="000000"/>
              <w:right w:val="nil"/>
            </w:tcBorders>
            <w:shd w:val="clear" w:color="auto" w:fill="E7E6E6"/>
          </w:tcPr>
          <w:p>
            <w:pPr>
              <w:pStyle w:val="TableParagraph"/>
              <w:spacing w:line="194" w:lineRule="exact"/>
              <w:ind w:left="121"/>
              <w:rPr>
                <w:b/>
                <w:sz w:val="16"/>
              </w:rPr>
            </w:pPr>
            <w:r>
              <w:rPr>
                <w:b/>
                <w:sz w:val="16"/>
              </w:rPr>
              <w:t>Test purpose</w:t>
            </w:r>
          </w:p>
        </w:tc>
        <w:tc>
          <w:tcPr>
            <w:tcW w:w="3542" w:type="dxa"/>
            <w:tcBorders>
              <w:top w:val="single" w:sz="4" w:space="0" w:color="000000"/>
              <w:left w:val="nil"/>
              <w:bottom w:val="single" w:sz="4" w:space="0" w:color="000000"/>
              <w:right w:val="nil"/>
            </w:tcBorders>
            <w:shd w:val="clear" w:color="auto" w:fill="E7E6E6"/>
          </w:tcPr>
          <w:p>
            <w:pPr>
              <w:pStyle w:val="TableParagraph"/>
              <w:spacing w:line="194" w:lineRule="exact"/>
              <w:ind w:left="123"/>
              <w:rPr>
                <w:b/>
                <w:sz w:val="16"/>
              </w:rPr>
            </w:pPr>
            <w:r>
              <w:rPr>
                <w:b/>
                <w:sz w:val="16"/>
              </w:rPr>
              <w:t>Assay format</w:t>
            </w:r>
          </w:p>
        </w:tc>
        <w:tc>
          <w:tcPr>
            <w:tcW w:w="2268" w:type="dxa"/>
            <w:tcBorders>
              <w:top w:val="single" w:sz="4" w:space="0" w:color="000000"/>
              <w:left w:val="nil"/>
              <w:bottom w:val="single" w:sz="4" w:space="0" w:color="000000"/>
            </w:tcBorders>
            <w:shd w:val="clear" w:color="auto" w:fill="E7E6E6"/>
          </w:tcPr>
          <w:p>
            <w:pPr>
              <w:pStyle w:val="TableParagraph"/>
              <w:spacing w:line="194" w:lineRule="exact"/>
              <w:ind w:left="124"/>
              <w:rPr>
                <w:b/>
                <w:sz w:val="16"/>
              </w:rPr>
            </w:pPr>
            <w:r>
              <w:rPr>
                <w:b/>
                <w:sz w:val="16"/>
              </w:rPr>
              <w:t>Specimen type</w:t>
            </w:r>
          </w:p>
        </w:tc>
      </w:tr>
      <w:tr>
        <w:trPr>
          <w:trHeight w:val="659" w:hRule="atLeast"/>
        </w:trPr>
        <w:tc>
          <w:tcPr>
            <w:tcW w:w="1409" w:type="dxa"/>
            <w:vMerge w:val="restart"/>
            <w:tcBorders>
              <w:top w:val="single" w:sz="4" w:space="0" w:color="000000"/>
              <w:bottom w:val="single" w:sz="4" w:space="0" w:color="000000"/>
              <w:right w:val="nil"/>
            </w:tcBorders>
          </w:tcPr>
          <w:p>
            <w:pPr>
              <w:pStyle w:val="TableParagraph"/>
              <w:ind w:left="107" w:right="188"/>
              <w:rPr>
                <w:sz w:val="18"/>
              </w:rPr>
            </w:pPr>
            <w:r>
              <w:rPr>
                <w:sz w:val="18"/>
              </w:rPr>
              <w:t>Clinical chemistry and immunoassays</w:t>
            </w:r>
          </w:p>
        </w:tc>
        <w:tc>
          <w:tcPr>
            <w:tcW w:w="1837" w:type="dxa"/>
            <w:tcBorders>
              <w:top w:val="single" w:sz="4" w:space="0" w:color="000000"/>
              <w:left w:val="nil"/>
              <w:bottom w:val="single" w:sz="4" w:space="0" w:color="000000"/>
              <w:right w:val="nil"/>
            </w:tcBorders>
          </w:tcPr>
          <w:p>
            <w:pPr>
              <w:pStyle w:val="TableParagraph"/>
              <w:ind w:left="117" w:right="454"/>
              <w:rPr>
                <w:sz w:val="18"/>
              </w:rPr>
            </w:pPr>
            <w:r>
              <w:rPr>
                <w:sz w:val="18"/>
              </w:rPr>
              <w:t>Alanine amino- transferase (ALT)</w:t>
            </w:r>
          </w:p>
        </w:tc>
        <w:tc>
          <w:tcPr>
            <w:tcW w:w="5104" w:type="dxa"/>
            <w:tcBorders>
              <w:top w:val="single" w:sz="4" w:space="0" w:color="000000"/>
              <w:left w:val="nil"/>
              <w:bottom w:val="single" w:sz="4" w:space="0" w:color="000000"/>
              <w:right w:val="nil"/>
            </w:tcBorders>
          </w:tcPr>
          <w:p>
            <w:pPr>
              <w:pStyle w:val="TableParagraph"/>
              <w:ind w:left="121" w:right="3273"/>
              <w:rPr>
                <w:sz w:val="18"/>
              </w:rPr>
            </w:pPr>
            <w:r>
              <w:rPr>
                <w:sz w:val="18"/>
              </w:rPr>
              <w:t>To assess liver function (often done with AST)</w:t>
            </w:r>
          </w:p>
        </w:tc>
        <w:tc>
          <w:tcPr>
            <w:tcW w:w="3542" w:type="dxa"/>
            <w:tcBorders>
              <w:top w:val="single" w:sz="4" w:space="0" w:color="000000"/>
              <w:left w:val="nil"/>
              <w:bottom w:val="single" w:sz="4" w:space="0" w:color="000000"/>
              <w:right w:val="nil"/>
            </w:tcBorders>
          </w:tcPr>
          <w:p>
            <w:pPr>
              <w:pStyle w:val="TableParagraph"/>
              <w:spacing w:line="219" w:lineRule="exact"/>
              <w:ind w:left="123"/>
              <w:rPr>
                <w:sz w:val="18"/>
              </w:rPr>
            </w:pPr>
            <w:r>
              <w:rPr>
                <w:sz w:val="18"/>
              </w:rPr>
              <w:t>Optical and electro-analytical methods</w:t>
            </w:r>
          </w:p>
        </w:tc>
        <w:tc>
          <w:tcPr>
            <w:tcW w:w="2268" w:type="dxa"/>
            <w:tcBorders>
              <w:top w:val="single" w:sz="4" w:space="0" w:color="000000"/>
              <w:left w:val="nil"/>
              <w:bottom w:val="single" w:sz="4" w:space="0" w:color="000000"/>
            </w:tcBorders>
          </w:tcPr>
          <w:p>
            <w:pPr>
              <w:pStyle w:val="TableParagraph"/>
              <w:ind w:left="124" w:right="1588"/>
              <w:rPr>
                <w:sz w:val="18"/>
              </w:rPr>
            </w:pPr>
            <w:r>
              <w:rPr>
                <w:sz w:val="18"/>
              </w:rPr>
              <w:t>Serum Plasma</w:t>
            </w:r>
          </w:p>
        </w:tc>
      </w:tr>
      <w:tr>
        <w:trPr>
          <w:trHeight w:val="657" w:hRule="atLeast"/>
        </w:trPr>
        <w:tc>
          <w:tcPr>
            <w:tcW w:w="1409" w:type="dxa"/>
            <w:vMerge/>
            <w:tcBorders>
              <w:top w:val="nil"/>
              <w:bottom w:val="single" w:sz="4" w:space="0" w:color="000000"/>
              <w:right w:val="nil"/>
            </w:tcBorders>
          </w:tcPr>
          <w:p>
            <w:pPr>
              <w:rPr>
                <w:sz w:val="2"/>
                <w:szCs w:val="2"/>
              </w:rPr>
            </w:pPr>
          </w:p>
        </w:tc>
        <w:tc>
          <w:tcPr>
            <w:tcW w:w="1837" w:type="dxa"/>
            <w:tcBorders>
              <w:top w:val="single" w:sz="4" w:space="0" w:color="000000"/>
              <w:left w:val="nil"/>
              <w:bottom w:val="single" w:sz="4" w:space="0" w:color="000000"/>
              <w:right w:val="nil"/>
            </w:tcBorders>
          </w:tcPr>
          <w:p>
            <w:pPr>
              <w:pStyle w:val="TableParagraph"/>
              <w:spacing w:line="219" w:lineRule="exact"/>
              <w:ind w:left="117"/>
              <w:rPr>
                <w:sz w:val="18"/>
              </w:rPr>
            </w:pPr>
            <w:r>
              <w:rPr>
                <w:sz w:val="18"/>
              </w:rPr>
              <w:t>Albumin</w:t>
            </w:r>
          </w:p>
        </w:tc>
        <w:tc>
          <w:tcPr>
            <w:tcW w:w="5104" w:type="dxa"/>
            <w:tcBorders>
              <w:top w:val="single" w:sz="4" w:space="0" w:color="000000"/>
              <w:left w:val="nil"/>
              <w:bottom w:val="single" w:sz="4" w:space="0" w:color="000000"/>
              <w:right w:val="nil"/>
            </w:tcBorders>
          </w:tcPr>
          <w:p>
            <w:pPr>
              <w:pStyle w:val="TableParagraph"/>
              <w:spacing w:line="219" w:lineRule="exact"/>
              <w:ind w:left="121"/>
              <w:rPr>
                <w:sz w:val="18"/>
              </w:rPr>
            </w:pPr>
            <w:r>
              <w:rPr>
                <w:sz w:val="18"/>
              </w:rPr>
              <w:t>To detect/monitor malnutrition, liver or kidney disease</w:t>
            </w:r>
          </w:p>
        </w:tc>
        <w:tc>
          <w:tcPr>
            <w:tcW w:w="3542" w:type="dxa"/>
            <w:tcBorders>
              <w:top w:val="single" w:sz="4" w:space="0" w:color="000000"/>
              <w:left w:val="nil"/>
              <w:bottom w:val="single" w:sz="4" w:space="0" w:color="000000"/>
              <w:right w:val="nil"/>
            </w:tcBorders>
          </w:tcPr>
          <w:p>
            <w:pPr>
              <w:pStyle w:val="TableParagraph"/>
              <w:ind w:left="123" w:right="1122"/>
              <w:rPr>
                <w:sz w:val="18"/>
              </w:rPr>
            </w:pPr>
            <w:r>
              <w:rPr>
                <w:sz w:val="18"/>
              </w:rPr>
              <w:t>Photometric, turbidimetric and nephelometric testing</w:t>
            </w:r>
          </w:p>
        </w:tc>
        <w:tc>
          <w:tcPr>
            <w:tcW w:w="2268" w:type="dxa"/>
            <w:tcBorders>
              <w:top w:val="single" w:sz="4" w:space="0" w:color="000000"/>
              <w:left w:val="nil"/>
              <w:bottom w:val="single" w:sz="4" w:space="0" w:color="000000"/>
            </w:tcBorders>
          </w:tcPr>
          <w:p>
            <w:pPr>
              <w:pStyle w:val="TableParagraph"/>
              <w:ind w:left="124" w:right="1588"/>
              <w:rPr>
                <w:sz w:val="18"/>
              </w:rPr>
            </w:pPr>
            <w:r>
              <w:rPr>
                <w:sz w:val="18"/>
              </w:rPr>
              <w:t>Urine Serum</w:t>
            </w:r>
          </w:p>
          <w:p>
            <w:pPr>
              <w:pStyle w:val="TableParagraph"/>
              <w:spacing w:line="199" w:lineRule="exact"/>
              <w:ind w:left="124"/>
              <w:rPr>
                <w:sz w:val="18"/>
              </w:rPr>
            </w:pPr>
            <w:r>
              <w:rPr>
                <w:sz w:val="18"/>
              </w:rPr>
              <w:t>Plasma</w:t>
            </w:r>
          </w:p>
        </w:tc>
      </w:tr>
      <w:tr>
        <w:trPr>
          <w:trHeight w:val="441" w:hRule="atLeast"/>
        </w:trPr>
        <w:tc>
          <w:tcPr>
            <w:tcW w:w="1409" w:type="dxa"/>
            <w:vMerge/>
            <w:tcBorders>
              <w:top w:val="nil"/>
              <w:bottom w:val="single" w:sz="4" w:space="0" w:color="000000"/>
              <w:right w:val="nil"/>
            </w:tcBorders>
          </w:tcPr>
          <w:p>
            <w:pPr>
              <w:rPr>
                <w:sz w:val="2"/>
                <w:szCs w:val="2"/>
              </w:rPr>
            </w:pPr>
          </w:p>
        </w:tc>
        <w:tc>
          <w:tcPr>
            <w:tcW w:w="1837" w:type="dxa"/>
            <w:tcBorders>
              <w:top w:val="single" w:sz="4" w:space="0" w:color="000000"/>
              <w:left w:val="nil"/>
              <w:bottom w:val="single" w:sz="4" w:space="0" w:color="000000"/>
              <w:right w:val="nil"/>
            </w:tcBorders>
          </w:tcPr>
          <w:p>
            <w:pPr>
              <w:pStyle w:val="TableParagraph"/>
              <w:spacing w:before="1"/>
              <w:ind w:left="117"/>
              <w:rPr>
                <w:sz w:val="18"/>
              </w:rPr>
            </w:pPr>
            <w:r>
              <w:rPr>
                <w:sz w:val="18"/>
              </w:rPr>
              <w:t>Alkaline phosphatase</w:t>
            </w:r>
          </w:p>
        </w:tc>
        <w:tc>
          <w:tcPr>
            <w:tcW w:w="5104" w:type="dxa"/>
            <w:tcBorders>
              <w:top w:val="single" w:sz="4" w:space="0" w:color="000000"/>
              <w:left w:val="nil"/>
              <w:bottom w:val="single" w:sz="4" w:space="0" w:color="000000"/>
              <w:right w:val="nil"/>
            </w:tcBorders>
          </w:tcPr>
          <w:p>
            <w:pPr>
              <w:pStyle w:val="TableParagraph"/>
              <w:spacing w:line="219" w:lineRule="exact" w:before="1"/>
              <w:ind w:left="121"/>
              <w:rPr>
                <w:sz w:val="18"/>
              </w:rPr>
            </w:pPr>
            <w:r>
              <w:rPr>
                <w:sz w:val="18"/>
              </w:rPr>
              <w:t>To detect/monitor malnutrition, Paget's disease or certain</w:t>
            </w:r>
          </w:p>
          <w:p>
            <w:pPr>
              <w:pStyle w:val="TableParagraph"/>
              <w:spacing w:line="201" w:lineRule="exact"/>
              <w:ind w:left="121"/>
              <w:rPr>
                <w:sz w:val="18"/>
              </w:rPr>
            </w:pPr>
            <w:r>
              <w:rPr>
                <w:sz w:val="18"/>
              </w:rPr>
              <w:t>malignancies, including liver cancer</w:t>
            </w:r>
          </w:p>
        </w:tc>
        <w:tc>
          <w:tcPr>
            <w:tcW w:w="3542" w:type="dxa"/>
            <w:tcBorders>
              <w:top w:val="single" w:sz="4" w:space="0" w:color="000000"/>
              <w:left w:val="nil"/>
              <w:bottom w:val="single" w:sz="4" w:space="0" w:color="000000"/>
              <w:right w:val="nil"/>
            </w:tcBorders>
          </w:tcPr>
          <w:p>
            <w:pPr>
              <w:pStyle w:val="TableParagraph"/>
              <w:spacing w:before="1"/>
              <w:ind w:left="123"/>
              <w:rPr>
                <w:sz w:val="18"/>
              </w:rPr>
            </w:pPr>
            <w:r>
              <w:rPr>
                <w:sz w:val="18"/>
              </w:rPr>
              <w:t>Colorimetric testing</w:t>
            </w:r>
          </w:p>
        </w:tc>
        <w:tc>
          <w:tcPr>
            <w:tcW w:w="2268" w:type="dxa"/>
            <w:tcBorders>
              <w:top w:val="single" w:sz="4" w:space="0" w:color="000000"/>
              <w:left w:val="nil"/>
              <w:bottom w:val="single" w:sz="4" w:space="0" w:color="000000"/>
            </w:tcBorders>
          </w:tcPr>
          <w:p>
            <w:pPr>
              <w:pStyle w:val="TableParagraph"/>
              <w:spacing w:line="219" w:lineRule="exact" w:before="1"/>
              <w:ind w:left="124"/>
              <w:rPr>
                <w:sz w:val="18"/>
              </w:rPr>
            </w:pPr>
            <w:r>
              <w:rPr>
                <w:sz w:val="18"/>
              </w:rPr>
              <w:t>Serum</w:t>
            </w:r>
          </w:p>
          <w:p>
            <w:pPr>
              <w:pStyle w:val="TableParagraph"/>
              <w:spacing w:line="201" w:lineRule="exact"/>
              <w:ind w:left="124"/>
              <w:rPr>
                <w:sz w:val="18"/>
              </w:rPr>
            </w:pPr>
            <w:r>
              <w:rPr>
                <w:sz w:val="18"/>
              </w:rPr>
              <w:t>Plasma</w:t>
            </w:r>
          </w:p>
        </w:tc>
      </w:tr>
      <w:tr>
        <w:trPr>
          <w:trHeight w:val="438" w:hRule="atLeast"/>
        </w:trPr>
        <w:tc>
          <w:tcPr>
            <w:tcW w:w="1409" w:type="dxa"/>
            <w:vMerge/>
            <w:tcBorders>
              <w:top w:val="nil"/>
              <w:bottom w:val="single" w:sz="4" w:space="0" w:color="000000"/>
              <w:right w:val="nil"/>
            </w:tcBorders>
          </w:tcPr>
          <w:p>
            <w:pPr>
              <w:rPr>
                <w:sz w:val="2"/>
                <w:szCs w:val="2"/>
              </w:rPr>
            </w:pPr>
          </w:p>
        </w:tc>
        <w:tc>
          <w:tcPr>
            <w:tcW w:w="1837" w:type="dxa"/>
            <w:tcBorders>
              <w:top w:val="single" w:sz="4" w:space="0" w:color="000000"/>
              <w:left w:val="nil"/>
              <w:bottom w:val="single" w:sz="4" w:space="0" w:color="000000"/>
              <w:right w:val="nil"/>
            </w:tcBorders>
          </w:tcPr>
          <w:p>
            <w:pPr>
              <w:pStyle w:val="TableParagraph"/>
              <w:spacing w:line="218" w:lineRule="exact"/>
              <w:ind w:left="117"/>
              <w:rPr>
                <w:sz w:val="18"/>
              </w:rPr>
            </w:pPr>
            <w:r>
              <w:rPr>
                <w:sz w:val="18"/>
              </w:rPr>
              <w:t>Aspartate amino-</w:t>
            </w:r>
          </w:p>
          <w:p>
            <w:pPr>
              <w:pStyle w:val="TableParagraph"/>
              <w:spacing w:line="201" w:lineRule="exact"/>
              <w:ind w:left="117"/>
              <w:rPr>
                <w:sz w:val="18"/>
              </w:rPr>
            </w:pPr>
            <w:r>
              <w:rPr>
                <w:sz w:val="18"/>
              </w:rPr>
              <w:t>transaminase (AST)</w:t>
            </w:r>
          </w:p>
        </w:tc>
        <w:tc>
          <w:tcPr>
            <w:tcW w:w="5104" w:type="dxa"/>
            <w:tcBorders>
              <w:top w:val="single" w:sz="4" w:space="0" w:color="000000"/>
              <w:left w:val="nil"/>
              <w:bottom w:val="single" w:sz="4" w:space="0" w:color="000000"/>
              <w:right w:val="nil"/>
            </w:tcBorders>
          </w:tcPr>
          <w:p>
            <w:pPr>
              <w:pStyle w:val="TableParagraph"/>
              <w:spacing w:line="218" w:lineRule="exact"/>
              <w:ind w:left="121"/>
              <w:rPr>
                <w:sz w:val="18"/>
              </w:rPr>
            </w:pPr>
            <w:r>
              <w:rPr>
                <w:sz w:val="18"/>
              </w:rPr>
              <w:t>To assess of liver function</w:t>
            </w:r>
          </w:p>
          <w:p>
            <w:pPr>
              <w:pStyle w:val="TableParagraph"/>
              <w:spacing w:line="201" w:lineRule="exact"/>
              <w:ind w:left="121"/>
              <w:rPr>
                <w:sz w:val="18"/>
              </w:rPr>
            </w:pPr>
            <w:r>
              <w:rPr>
                <w:sz w:val="18"/>
              </w:rPr>
              <w:t>(often done with ALT)</w:t>
            </w:r>
          </w:p>
        </w:tc>
        <w:tc>
          <w:tcPr>
            <w:tcW w:w="3542" w:type="dxa"/>
            <w:tcBorders>
              <w:top w:val="single" w:sz="4" w:space="0" w:color="000000"/>
              <w:left w:val="nil"/>
              <w:bottom w:val="single" w:sz="4" w:space="0" w:color="000000"/>
              <w:right w:val="nil"/>
            </w:tcBorders>
          </w:tcPr>
          <w:p>
            <w:pPr>
              <w:pStyle w:val="TableParagraph"/>
              <w:spacing w:line="219" w:lineRule="exact"/>
              <w:ind w:left="123"/>
              <w:rPr>
                <w:sz w:val="18"/>
              </w:rPr>
            </w:pPr>
            <w:r>
              <w:rPr>
                <w:sz w:val="18"/>
              </w:rPr>
              <w:t>Optical and electro-analytical methods</w:t>
            </w:r>
          </w:p>
        </w:tc>
        <w:tc>
          <w:tcPr>
            <w:tcW w:w="2268" w:type="dxa"/>
            <w:tcBorders>
              <w:top w:val="single" w:sz="4" w:space="0" w:color="000000"/>
              <w:left w:val="nil"/>
              <w:bottom w:val="single" w:sz="4" w:space="0" w:color="000000"/>
            </w:tcBorders>
          </w:tcPr>
          <w:p>
            <w:pPr>
              <w:pStyle w:val="TableParagraph"/>
              <w:spacing w:line="218" w:lineRule="exact"/>
              <w:ind w:left="124"/>
              <w:rPr>
                <w:sz w:val="18"/>
              </w:rPr>
            </w:pPr>
            <w:r>
              <w:rPr>
                <w:sz w:val="18"/>
              </w:rPr>
              <w:t>Serum</w:t>
            </w:r>
          </w:p>
          <w:p>
            <w:pPr>
              <w:pStyle w:val="TableParagraph"/>
              <w:spacing w:line="201" w:lineRule="exact"/>
              <w:ind w:left="124"/>
              <w:rPr>
                <w:sz w:val="18"/>
              </w:rPr>
            </w:pPr>
            <w:r>
              <w:rPr>
                <w:sz w:val="18"/>
              </w:rPr>
              <w:t>Plasma</w:t>
            </w:r>
          </w:p>
        </w:tc>
      </w:tr>
      <w:tr>
        <w:trPr>
          <w:trHeight w:val="438" w:hRule="atLeast"/>
        </w:trPr>
        <w:tc>
          <w:tcPr>
            <w:tcW w:w="1409" w:type="dxa"/>
            <w:vMerge/>
            <w:tcBorders>
              <w:top w:val="nil"/>
              <w:bottom w:val="single" w:sz="4" w:space="0" w:color="000000"/>
              <w:right w:val="nil"/>
            </w:tcBorders>
          </w:tcPr>
          <w:p>
            <w:pPr>
              <w:rPr>
                <w:sz w:val="2"/>
                <w:szCs w:val="2"/>
              </w:rPr>
            </w:pPr>
          </w:p>
        </w:tc>
        <w:tc>
          <w:tcPr>
            <w:tcW w:w="1837" w:type="dxa"/>
            <w:tcBorders>
              <w:top w:val="single" w:sz="4" w:space="0" w:color="000000"/>
              <w:left w:val="nil"/>
              <w:bottom w:val="single" w:sz="4" w:space="0" w:color="000000"/>
              <w:right w:val="nil"/>
            </w:tcBorders>
          </w:tcPr>
          <w:p>
            <w:pPr>
              <w:pStyle w:val="TableParagraph"/>
              <w:spacing w:line="219" w:lineRule="exact"/>
              <w:ind w:left="117"/>
              <w:rPr>
                <w:sz w:val="18"/>
              </w:rPr>
            </w:pPr>
            <w:r>
              <w:rPr>
                <w:sz w:val="18"/>
              </w:rPr>
              <w:t>Bilirubin</w:t>
            </w:r>
          </w:p>
        </w:tc>
        <w:tc>
          <w:tcPr>
            <w:tcW w:w="5104" w:type="dxa"/>
            <w:tcBorders>
              <w:top w:val="single" w:sz="4" w:space="0" w:color="000000"/>
              <w:left w:val="nil"/>
              <w:bottom w:val="single" w:sz="4" w:space="0" w:color="000000"/>
              <w:right w:val="nil"/>
            </w:tcBorders>
          </w:tcPr>
          <w:p>
            <w:pPr>
              <w:pStyle w:val="TableParagraph"/>
              <w:spacing w:line="219" w:lineRule="exact"/>
              <w:ind w:left="121"/>
              <w:rPr>
                <w:sz w:val="18"/>
              </w:rPr>
            </w:pPr>
            <w:r>
              <w:rPr>
                <w:sz w:val="18"/>
              </w:rPr>
              <w:t>To detect/monitor liver disease, liver/pancreas and bile duct</w:t>
            </w:r>
          </w:p>
          <w:p>
            <w:pPr>
              <w:pStyle w:val="TableParagraph"/>
              <w:spacing w:line="199" w:lineRule="exact" w:before="1"/>
              <w:ind w:left="121"/>
              <w:rPr>
                <w:sz w:val="18"/>
              </w:rPr>
            </w:pPr>
            <w:r>
              <w:rPr>
                <w:sz w:val="18"/>
              </w:rPr>
              <w:t>disorders, and red cell destruction</w:t>
            </w:r>
          </w:p>
        </w:tc>
        <w:tc>
          <w:tcPr>
            <w:tcW w:w="3542" w:type="dxa"/>
            <w:tcBorders>
              <w:top w:val="single" w:sz="4" w:space="0" w:color="000000"/>
              <w:left w:val="nil"/>
              <w:bottom w:val="single" w:sz="4" w:space="0" w:color="000000"/>
              <w:right w:val="nil"/>
            </w:tcBorders>
          </w:tcPr>
          <w:p>
            <w:pPr>
              <w:pStyle w:val="TableParagraph"/>
              <w:spacing w:line="219" w:lineRule="exact"/>
              <w:ind w:left="123"/>
              <w:rPr>
                <w:sz w:val="18"/>
              </w:rPr>
            </w:pPr>
            <w:r>
              <w:rPr>
                <w:sz w:val="18"/>
              </w:rPr>
              <w:t>Optical and electro-analytical methods</w:t>
            </w:r>
          </w:p>
        </w:tc>
        <w:tc>
          <w:tcPr>
            <w:tcW w:w="2268" w:type="dxa"/>
            <w:tcBorders>
              <w:top w:val="single" w:sz="4" w:space="0" w:color="000000"/>
              <w:left w:val="nil"/>
              <w:bottom w:val="single" w:sz="4" w:space="0" w:color="000000"/>
            </w:tcBorders>
          </w:tcPr>
          <w:p>
            <w:pPr>
              <w:pStyle w:val="TableParagraph"/>
              <w:spacing w:line="219" w:lineRule="exact"/>
              <w:ind w:left="124"/>
              <w:rPr>
                <w:sz w:val="18"/>
              </w:rPr>
            </w:pPr>
            <w:r>
              <w:rPr>
                <w:sz w:val="18"/>
              </w:rPr>
              <w:t>Serum</w:t>
            </w:r>
          </w:p>
          <w:p>
            <w:pPr>
              <w:pStyle w:val="TableParagraph"/>
              <w:spacing w:line="199" w:lineRule="exact" w:before="1"/>
              <w:ind w:left="124"/>
              <w:rPr>
                <w:sz w:val="18"/>
              </w:rPr>
            </w:pPr>
            <w:r>
              <w:rPr>
                <w:sz w:val="18"/>
              </w:rPr>
              <w:t>Plasma</w:t>
            </w:r>
          </w:p>
        </w:tc>
      </w:tr>
      <w:tr>
        <w:trPr>
          <w:trHeight w:val="659" w:hRule="atLeast"/>
        </w:trPr>
        <w:tc>
          <w:tcPr>
            <w:tcW w:w="1409" w:type="dxa"/>
            <w:vMerge/>
            <w:tcBorders>
              <w:top w:val="nil"/>
              <w:bottom w:val="single" w:sz="4" w:space="0" w:color="000000"/>
              <w:right w:val="nil"/>
            </w:tcBorders>
          </w:tcPr>
          <w:p>
            <w:pPr>
              <w:rPr>
                <w:sz w:val="2"/>
                <w:szCs w:val="2"/>
              </w:rPr>
            </w:pPr>
          </w:p>
        </w:tc>
        <w:tc>
          <w:tcPr>
            <w:tcW w:w="1837" w:type="dxa"/>
            <w:tcBorders>
              <w:top w:val="single" w:sz="4" w:space="0" w:color="000000"/>
              <w:left w:val="nil"/>
              <w:bottom w:val="single" w:sz="4" w:space="0" w:color="000000"/>
              <w:right w:val="nil"/>
            </w:tcBorders>
          </w:tcPr>
          <w:p>
            <w:pPr>
              <w:pStyle w:val="TableParagraph"/>
              <w:spacing w:line="219" w:lineRule="exact"/>
              <w:ind w:left="117"/>
              <w:rPr>
                <w:sz w:val="18"/>
              </w:rPr>
            </w:pPr>
            <w:r>
              <w:rPr>
                <w:sz w:val="18"/>
              </w:rPr>
              <w:t>Blood pH and gases</w:t>
            </w:r>
          </w:p>
        </w:tc>
        <w:tc>
          <w:tcPr>
            <w:tcW w:w="5104" w:type="dxa"/>
            <w:tcBorders>
              <w:top w:val="single" w:sz="4" w:space="0" w:color="000000"/>
              <w:left w:val="nil"/>
              <w:bottom w:val="single" w:sz="4" w:space="0" w:color="000000"/>
              <w:right w:val="nil"/>
            </w:tcBorders>
          </w:tcPr>
          <w:p>
            <w:pPr>
              <w:pStyle w:val="TableParagraph"/>
              <w:ind w:left="121" w:right="655"/>
              <w:rPr>
                <w:sz w:val="18"/>
              </w:rPr>
            </w:pPr>
            <w:r>
              <w:rPr>
                <w:sz w:val="18"/>
              </w:rPr>
              <w:t>To assess lung function, metabolic or kidney disorders, and monitor oxygen therapy</w:t>
            </w:r>
          </w:p>
          <w:p>
            <w:pPr>
              <w:pStyle w:val="TableParagraph"/>
              <w:spacing w:line="199" w:lineRule="exact" w:before="1"/>
              <w:ind w:left="121"/>
              <w:rPr>
                <w:sz w:val="18"/>
              </w:rPr>
            </w:pPr>
            <w:r>
              <w:rPr>
                <w:sz w:val="18"/>
              </w:rPr>
              <w:t>Measurement of blood pH, oxygen and carbon dioxide</w:t>
            </w:r>
          </w:p>
        </w:tc>
        <w:tc>
          <w:tcPr>
            <w:tcW w:w="3542" w:type="dxa"/>
            <w:tcBorders>
              <w:top w:val="single" w:sz="4" w:space="0" w:color="000000"/>
              <w:left w:val="nil"/>
              <w:bottom w:val="single" w:sz="4" w:space="0" w:color="000000"/>
              <w:right w:val="nil"/>
            </w:tcBorders>
          </w:tcPr>
          <w:p>
            <w:pPr>
              <w:pStyle w:val="TableParagraph"/>
              <w:ind w:left="123" w:right="347"/>
              <w:rPr>
                <w:sz w:val="18"/>
              </w:rPr>
            </w:pPr>
            <w:r>
              <w:rPr>
                <w:sz w:val="18"/>
              </w:rPr>
              <w:t>Electro-analytical methods, including portable analysers</w:t>
            </w:r>
          </w:p>
        </w:tc>
        <w:tc>
          <w:tcPr>
            <w:tcW w:w="2268" w:type="dxa"/>
            <w:tcBorders>
              <w:top w:val="single" w:sz="4" w:space="0" w:color="000000"/>
              <w:left w:val="nil"/>
              <w:bottom w:val="single" w:sz="4" w:space="0" w:color="000000"/>
            </w:tcBorders>
          </w:tcPr>
          <w:p>
            <w:pPr>
              <w:pStyle w:val="TableParagraph"/>
              <w:ind w:left="124" w:right="609"/>
              <w:rPr>
                <w:sz w:val="18"/>
              </w:rPr>
            </w:pPr>
            <w:r>
              <w:rPr>
                <w:sz w:val="18"/>
              </w:rPr>
              <w:t>Arterial whole blood Venous whole blood</w:t>
            </w:r>
          </w:p>
        </w:tc>
      </w:tr>
      <w:tr>
        <w:trPr>
          <w:trHeight w:val="439" w:hRule="atLeast"/>
        </w:trPr>
        <w:tc>
          <w:tcPr>
            <w:tcW w:w="1409" w:type="dxa"/>
            <w:vMerge/>
            <w:tcBorders>
              <w:top w:val="nil"/>
              <w:bottom w:val="single" w:sz="4" w:space="0" w:color="000000"/>
              <w:right w:val="nil"/>
            </w:tcBorders>
          </w:tcPr>
          <w:p>
            <w:pPr>
              <w:rPr>
                <w:sz w:val="2"/>
                <w:szCs w:val="2"/>
              </w:rPr>
            </w:pPr>
          </w:p>
        </w:tc>
        <w:tc>
          <w:tcPr>
            <w:tcW w:w="1837" w:type="dxa"/>
            <w:tcBorders>
              <w:top w:val="single" w:sz="4" w:space="0" w:color="000000"/>
              <w:left w:val="nil"/>
              <w:bottom w:val="single" w:sz="4" w:space="0" w:color="000000"/>
              <w:right w:val="nil"/>
            </w:tcBorders>
          </w:tcPr>
          <w:p>
            <w:pPr>
              <w:pStyle w:val="TableParagraph"/>
              <w:spacing w:line="219" w:lineRule="exact"/>
              <w:ind w:left="117"/>
              <w:rPr>
                <w:sz w:val="18"/>
              </w:rPr>
            </w:pPr>
            <w:r>
              <w:rPr>
                <w:sz w:val="18"/>
              </w:rPr>
              <w:t>Blood urea nitrogen</w:t>
            </w:r>
          </w:p>
          <w:p>
            <w:pPr>
              <w:pStyle w:val="TableParagraph"/>
              <w:spacing w:line="199" w:lineRule="exact" w:before="1"/>
              <w:ind w:left="117"/>
              <w:rPr>
                <w:sz w:val="18"/>
              </w:rPr>
            </w:pPr>
            <w:r>
              <w:rPr>
                <w:sz w:val="18"/>
              </w:rPr>
              <w:t>(BUN)</w:t>
            </w:r>
          </w:p>
        </w:tc>
        <w:tc>
          <w:tcPr>
            <w:tcW w:w="5104" w:type="dxa"/>
            <w:tcBorders>
              <w:top w:val="single" w:sz="4" w:space="0" w:color="000000"/>
              <w:left w:val="nil"/>
              <w:bottom w:val="single" w:sz="4" w:space="0" w:color="000000"/>
              <w:right w:val="nil"/>
            </w:tcBorders>
          </w:tcPr>
          <w:p>
            <w:pPr>
              <w:pStyle w:val="TableParagraph"/>
              <w:spacing w:line="219" w:lineRule="exact"/>
              <w:ind w:left="121"/>
              <w:rPr>
                <w:sz w:val="18"/>
              </w:rPr>
            </w:pPr>
            <w:r>
              <w:rPr>
                <w:sz w:val="18"/>
              </w:rPr>
              <w:t>To assess kidney function and disease</w:t>
            </w:r>
          </w:p>
        </w:tc>
        <w:tc>
          <w:tcPr>
            <w:tcW w:w="3542" w:type="dxa"/>
            <w:tcBorders>
              <w:top w:val="single" w:sz="4" w:space="0" w:color="000000"/>
              <w:left w:val="nil"/>
              <w:bottom w:val="single" w:sz="4" w:space="0" w:color="000000"/>
              <w:right w:val="nil"/>
            </w:tcBorders>
          </w:tcPr>
          <w:p>
            <w:pPr>
              <w:pStyle w:val="TableParagraph"/>
              <w:spacing w:line="219" w:lineRule="exact"/>
              <w:ind w:left="123"/>
              <w:rPr>
                <w:sz w:val="18"/>
              </w:rPr>
            </w:pPr>
            <w:r>
              <w:rPr>
                <w:sz w:val="18"/>
              </w:rPr>
              <w:t>Optical and electro-analytical methods</w:t>
            </w:r>
          </w:p>
        </w:tc>
        <w:tc>
          <w:tcPr>
            <w:tcW w:w="2268" w:type="dxa"/>
            <w:tcBorders>
              <w:top w:val="single" w:sz="4" w:space="0" w:color="000000"/>
              <w:left w:val="nil"/>
              <w:bottom w:val="single" w:sz="4" w:space="0" w:color="000000"/>
            </w:tcBorders>
          </w:tcPr>
          <w:p>
            <w:pPr>
              <w:pStyle w:val="TableParagraph"/>
              <w:spacing w:line="219" w:lineRule="exact"/>
              <w:ind w:left="124"/>
              <w:rPr>
                <w:sz w:val="18"/>
              </w:rPr>
            </w:pPr>
            <w:r>
              <w:rPr>
                <w:sz w:val="18"/>
              </w:rPr>
              <w:t>Serum</w:t>
            </w:r>
          </w:p>
          <w:p>
            <w:pPr>
              <w:pStyle w:val="TableParagraph"/>
              <w:spacing w:line="199" w:lineRule="exact" w:before="1"/>
              <w:ind w:left="124"/>
              <w:rPr>
                <w:sz w:val="18"/>
              </w:rPr>
            </w:pPr>
            <w:r>
              <w:rPr>
                <w:sz w:val="18"/>
              </w:rPr>
              <w:t>Plasma</w:t>
            </w:r>
          </w:p>
        </w:tc>
      </w:tr>
      <w:tr>
        <w:trPr>
          <w:trHeight w:val="880" w:hRule="atLeast"/>
        </w:trPr>
        <w:tc>
          <w:tcPr>
            <w:tcW w:w="1409" w:type="dxa"/>
            <w:vMerge/>
            <w:tcBorders>
              <w:top w:val="nil"/>
              <w:bottom w:val="single" w:sz="4" w:space="0" w:color="000000"/>
              <w:right w:val="nil"/>
            </w:tcBorders>
          </w:tcPr>
          <w:p>
            <w:pPr>
              <w:rPr>
                <w:sz w:val="2"/>
                <w:szCs w:val="2"/>
              </w:rPr>
            </w:pPr>
          </w:p>
        </w:tc>
        <w:tc>
          <w:tcPr>
            <w:tcW w:w="1837" w:type="dxa"/>
            <w:tcBorders>
              <w:top w:val="single" w:sz="4" w:space="0" w:color="000000"/>
              <w:left w:val="nil"/>
              <w:bottom w:val="single" w:sz="4" w:space="0" w:color="000000"/>
              <w:right w:val="nil"/>
            </w:tcBorders>
          </w:tcPr>
          <w:p>
            <w:pPr>
              <w:pStyle w:val="TableParagraph"/>
              <w:spacing w:before="1"/>
              <w:ind w:left="117"/>
              <w:rPr>
                <w:sz w:val="18"/>
              </w:rPr>
            </w:pPr>
            <w:r>
              <w:rPr>
                <w:sz w:val="18"/>
              </w:rPr>
              <w:t>Creatinine</w:t>
            </w:r>
          </w:p>
        </w:tc>
        <w:tc>
          <w:tcPr>
            <w:tcW w:w="5104" w:type="dxa"/>
            <w:tcBorders>
              <w:top w:val="single" w:sz="4" w:space="0" w:color="000000"/>
              <w:left w:val="nil"/>
              <w:bottom w:val="single" w:sz="4" w:space="0" w:color="000000"/>
              <w:right w:val="nil"/>
            </w:tcBorders>
          </w:tcPr>
          <w:p>
            <w:pPr>
              <w:pStyle w:val="TableParagraph"/>
              <w:spacing w:before="1"/>
              <w:ind w:left="121"/>
              <w:rPr>
                <w:sz w:val="18"/>
              </w:rPr>
            </w:pPr>
            <w:r>
              <w:rPr>
                <w:sz w:val="18"/>
              </w:rPr>
              <w:t>To estimate glomerular filtration rate (eGFR) and urine albumin/creatinine ratio</w:t>
            </w:r>
          </w:p>
          <w:p>
            <w:pPr>
              <w:pStyle w:val="TableParagraph"/>
              <w:spacing w:line="219" w:lineRule="exact"/>
              <w:ind w:left="121"/>
              <w:rPr>
                <w:sz w:val="18"/>
              </w:rPr>
            </w:pPr>
            <w:r>
              <w:rPr>
                <w:sz w:val="18"/>
              </w:rPr>
              <w:t>Key clinical marker for management of severe infections (i.e.</w:t>
            </w:r>
          </w:p>
          <w:p>
            <w:pPr>
              <w:pStyle w:val="TableParagraph"/>
              <w:spacing w:line="201" w:lineRule="exact"/>
              <w:ind w:left="121"/>
              <w:rPr>
                <w:sz w:val="18"/>
              </w:rPr>
            </w:pPr>
            <w:r>
              <w:rPr>
                <w:sz w:val="18"/>
              </w:rPr>
              <w:t>sepsis, Lassa fever), as well as antimicrobial regimen adjustment</w:t>
            </w:r>
          </w:p>
        </w:tc>
        <w:tc>
          <w:tcPr>
            <w:tcW w:w="3542" w:type="dxa"/>
            <w:tcBorders>
              <w:top w:val="single" w:sz="4" w:space="0" w:color="000000"/>
              <w:left w:val="nil"/>
              <w:bottom w:val="single" w:sz="4" w:space="0" w:color="000000"/>
              <w:right w:val="nil"/>
            </w:tcBorders>
          </w:tcPr>
          <w:p>
            <w:pPr>
              <w:pStyle w:val="TableParagraph"/>
              <w:spacing w:before="1"/>
              <w:ind w:left="123"/>
              <w:rPr>
                <w:sz w:val="18"/>
              </w:rPr>
            </w:pPr>
            <w:r>
              <w:rPr>
                <w:sz w:val="18"/>
              </w:rPr>
              <w:t>Optical and electro-analytical methods</w:t>
            </w:r>
          </w:p>
        </w:tc>
        <w:tc>
          <w:tcPr>
            <w:tcW w:w="2268" w:type="dxa"/>
            <w:tcBorders>
              <w:top w:val="single" w:sz="4" w:space="0" w:color="000000"/>
              <w:left w:val="nil"/>
              <w:bottom w:val="single" w:sz="4" w:space="0" w:color="000000"/>
            </w:tcBorders>
          </w:tcPr>
          <w:p>
            <w:pPr>
              <w:pStyle w:val="TableParagraph"/>
              <w:spacing w:before="1"/>
              <w:ind w:left="124" w:right="1588"/>
              <w:rPr>
                <w:sz w:val="18"/>
              </w:rPr>
            </w:pPr>
            <w:r>
              <w:rPr>
                <w:sz w:val="18"/>
              </w:rPr>
              <w:t>Serum Urine</w:t>
            </w:r>
          </w:p>
        </w:tc>
      </w:tr>
      <w:tr>
        <w:trPr>
          <w:trHeight w:val="438" w:hRule="atLeast"/>
        </w:trPr>
        <w:tc>
          <w:tcPr>
            <w:tcW w:w="1409" w:type="dxa"/>
            <w:vMerge/>
            <w:tcBorders>
              <w:top w:val="nil"/>
              <w:bottom w:val="single" w:sz="4" w:space="0" w:color="000000"/>
              <w:right w:val="nil"/>
            </w:tcBorders>
          </w:tcPr>
          <w:p>
            <w:pPr>
              <w:rPr>
                <w:sz w:val="2"/>
                <w:szCs w:val="2"/>
              </w:rPr>
            </w:pPr>
          </w:p>
        </w:tc>
        <w:tc>
          <w:tcPr>
            <w:tcW w:w="1837" w:type="dxa"/>
            <w:tcBorders>
              <w:top w:val="single" w:sz="4" w:space="0" w:color="000000"/>
              <w:left w:val="nil"/>
              <w:bottom w:val="single" w:sz="4" w:space="0" w:color="000000"/>
              <w:right w:val="nil"/>
            </w:tcBorders>
          </w:tcPr>
          <w:p>
            <w:pPr>
              <w:pStyle w:val="TableParagraph"/>
              <w:spacing w:line="219" w:lineRule="exact"/>
              <w:ind w:left="117"/>
              <w:rPr>
                <w:sz w:val="18"/>
              </w:rPr>
            </w:pPr>
            <w:r>
              <w:rPr>
                <w:sz w:val="18"/>
              </w:rPr>
              <w:t>Electrolytes</w:t>
            </w:r>
          </w:p>
        </w:tc>
        <w:tc>
          <w:tcPr>
            <w:tcW w:w="5104" w:type="dxa"/>
            <w:tcBorders>
              <w:top w:val="single" w:sz="4" w:space="0" w:color="000000"/>
              <w:left w:val="nil"/>
              <w:bottom w:val="single" w:sz="4" w:space="0" w:color="000000"/>
              <w:right w:val="nil"/>
            </w:tcBorders>
          </w:tcPr>
          <w:p>
            <w:pPr>
              <w:pStyle w:val="TableParagraph"/>
              <w:spacing w:line="219" w:lineRule="exact"/>
              <w:ind w:left="121"/>
              <w:rPr>
                <w:sz w:val="18"/>
              </w:rPr>
            </w:pPr>
            <w:r>
              <w:rPr>
                <w:sz w:val="18"/>
              </w:rPr>
              <w:t>To monitor organ damage and electrolyte alterations</w:t>
            </w:r>
          </w:p>
        </w:tc>
        <w:tc>
          <w:tcPr>
            <w:tcW w:w="3542" w:type="dxa"/>
            <w:tcBorders>
              <w:top w:val="single" w:sz="4" w:space="0" w:color="000000"/>
              <w:left w:val="nil"/>
              <w:bottom w:val="single" w:sz="4" w:space="0" w:color="000000"/>
              <w:right w:val="nil"/>
            </w:tcBorders>
          </w:tcPr>
          <w:p>
            <w:pPr>
              <w:pStyle w:val="TableParagraph"/>
              <w:spacing w:line="219" w:lineRule="exact"/>
              <w:ind w:left="123"/>
              <w:rPr>
                <w:sz w:val="18"/>
              </w:rPr>
            </w:pPr>
            <w:r>
              <w:rPr>
                <w:sz w:val="18"/>
              </w:rPr>
              <w:t>Optical and electro-analytical methods</w:t>
            </w:r>
          </w:p>
        </w:tc>
        <w:tc>
          <w:tcPr>
            <w:tcW w:w="2268" w:type="dxa"/>
            <w:tcBorders>
              <w:top w:val="single" w:sz="4" w:space="0" w:color="000000"/>
              <w:left w:val="nil"/>
              <w:bottom w:val="single" w:sz="4" w:space="0" w:color="000000"/>
            </w:tcBorders>
          </w:tcPr>
          <w:p>
            <w:pPr>
              <w:pStyle w:val="TableParagraph"/>
              <w:spacing w:line="218" w:lineRule="exact"/>
              <w:ind w:left="124"/>
              <w:rPr>
                <w:sz w:val="18"/>
              </w:rPr>
            </w:pPr>
            <w:r>
              <w:rPr>
                <w:sz w:val="18"/>
              </w:rPr>
              <w:t>Serum</w:t>
            </w:r>
          </w:p>
          <w:p>
            <w:pPr>
              <w:pStyle w:val="TableParagraph"/>
              <w:spacing w:line="201" w:lineRule="exact"/>
              <w:ind w:left="124"/>
              <w:rPr>
                <w:sz w:val="18"/>
              </w:rPr>
            </w:pPr>
            <w:r>
              <w:rPr>
                <w:sz w:val="18"/>
              </w:rPr>
              <w:t>Plasma</w:t>
            </w:r>
          </w:p>
        </w:tc>
      </w:tr>
    </w:tbl>
    <w:p>
      <w:pPr>
        <w:spacing w:after="0" w:line="201" w:lineRule="exact"/>
        <w:rPr>
          <w:sz w:val="18"/>
        </w:rPr>
        <w:sectPr>
          <w:headerReference w:type="default" r:id="rId131"/>
          <w:footerReference w:type="default" r:id="rId132"/>
          <w:pgSz w:w="16840" w:h="11910" w:orient="landscape"/>
          <w:pgMar w:header="0" w:footer="495" w:top="1100" w:bottom="680" w:left="1180" w:right="920"/>
          <w:pgNumType w:start="16"/>
        </w:sectPr>
      </w:pPr>
    </w:p>
    <w:p>
      <w:pPr>
        <w:pStyle w:val="BodyText"/>
        <w:rPr>
          <w:rFonts w:ascii="Times New Roman"/>
          <w:sz w:val="29"/>
        </w:rPr>
      </w:pPr>
      <w:r>
        <w:rPr/>
        <w:pict>
          <v:group style="position:absolute;margin-left:228.740005pt;margin-top:209.330002pt;width:.5pt;height:22.45pt;mso-position-horizontal-relative:page;mso-position-vertical-relative:page;z-index:-123688" coordorigin="4575,4187" coordsize="10,449">
            <v:shape style="position:absolute;left:4574;top:4186;width:10;height:440" type="#_x0000_t75" stroked="false">
              <v:imagedata r:id="rId147" o:title=""/>
            </v:shape>
            <v:shape style="position:absolute;left:4574;top:4625;width:10;height:10" type="#_x0000_t75" stroked="false">
              <v:imagedata r:id="rId61" o:title=""/>
            </v:shape>
            <w10:wrap type="none"/>
          </v:group>
        </w:pict>
      </w:r>
      <w:r>
        <w:rPr/>
        <w:pict>
          <v:group style="position:absolute;margin-left:136.580002pt;margin-top:231.770004pt;width:.5pt;height:260.95pt;mso-position-horizontal-relative:page;mso-position-vertical-relative:page;z-index:-123664" coordorigin="2732,4635" coordsize="10,5219">
            <v:shape style="position:absolute;left:2731;top:4635;width:10;height:889" type="#_x0000_t75" stroked="false">
              <v:imagedata r:id="rId158" o:title=""/>
            </v:shape>
            <v:shape style="position:absolute;left:2731;top:5523;width:10;height:670" type="#_x0000_t75" stroked="false">
              <v:imagedata r:id="rId159" o:title=""/>
            </v:shape>
            <v:shape style="position:absolute;left:2731;top:6193;width:10;height:670" type="#_x0000_t75" stroked="false">
              <v:imagedata r:id="rId159" o:title=""/>
            </v:shape>
            <v:shape style="position:absolute;left:2731;top:6863;width:10;height:449" type="#_x0000_t75" stroked="false">
              <v:imagedata r:id="rId160" o:title=""/>
            </v:shape>
            <v:shape style="position:absolute;left:2731;top:7311;width:10;height:512" type="#_x0000_t75" stroked="false">
              <v:imagedata r:id="rId161" o:title=""/>
            </v:shape>
            <v:shape style="position:absolute;left:2731;top:7823;width:10;height:509" type="#_x0000_t75" stroked="false">
              <v:imagedata r:id="rId162" o:title=""/>
            </v:shape>
            <v:shape style="position:absolute;left:2731;top:8332;width:10;height:1020" type="#_x0000_t75" stroked="false">
              <v:imagedata r:id="rId163" o:title=""/>
            </v:shape>
            <v:shape style="position:absolute;left:2731;top:9352;width:10;height:502" type="#_x0000_t75" stroked="false">
              <v:imagedata r:id="rId164" o:title=""/>
            </v:shape>
            <w10:wrap type="none"/>
          </v:group>
        </w:pict>
      </w:r>
      <w:r>
        <w:rPr/>
        <w:pict>
          <v:group style="position:absolute;margin-left:228.740005pt;margin-top:275.710022pt;width:.5pt;height:217.05pt;mso-position-horizontal-relative:page;mso-position-vertical-relative:page;z-index:-123640" coordorigin="4575,5514" coordsize="10,4341">
            <v:shape style="position:absolute;left:4574;top:5514;width:10;height:10" type="#_x0000_t75" stroked="false">
              <v:imagedata r:id="rId165" o:title=""/>
            </v:shape>
            <v:shape style="position:absolute;left:4574;top:5523;width:10;height:670" type="#_x0000_t75" stroked="false">
              <v:imagedata r:id="rId166" o:title=""/>
            </v:shape>
            <v:shape style="position:absolute;left:4574;top:6193;width:10;height:660" type="#_x0000_t75" stroked="false">
              <v:imagedata r:id="rId167" o:title=""/>
            </v:shape>
            <v:shape style="position:absolute;left:4574;top:6853;width:10;height:10" type="#_x0000_t75" stroked="false">
              <v:imagedata r:id="rId168" o:title=""/>
            </v:shape>
            <v:shape style="position:absolute;left:4574;top:6863;width:10;height:440" type="#_x0000_t75" stroked="false">
              <v:imagedata r:id="rId169" o:title=""/>
            </v:shape>
            <v:shape style="position:absolute;left:4574;top:7302;width:10;height:10" type="#_x0000_t75" stroked="false">
              <v:imagedata r:id="rId168" o:title=""/>
            </v:shape>
            <v:shape style="position:absolute;left:4574;top:7311;width:10;height:512" type="#_x0000_t75" stroked="false">
              <v:imagedata r:id="rId161" o:title=""/>
            </v:shape>
            <v:shape style="position:absolute;left:4574;top:7823;width:10;height:509" type="#_x0000_t75" stroked="false">
              <v:imagedata r:id="rId170" o:title=""/>
            </v:shape>
            <v:shape style="position:absolute;left:4574;top:8332;width:10;height:1020" type="#_x0000_t75" stroked="false">
              <v:imagedata r:id="rId163" o:title=""/>
            </v:shape>
            <v:shape style="position:absolute;left:4574;top:9352;width:10;height:502" type="#_x0000_t75" stroked="false">
              <v:imagedata r:id="rId164" o:title=""/>
            </v:shape>
            <w10:wrap type="none"/>
          </v:group>
        </w:pict>
      </w:r>
      <w:r>
        <w:rPr/>
        <w:pict>
          <v:group style="position:absolute;margin-left:483.910004pt;margin-top:231.770004pt;width:.5pt;height:260.95pt;mso-position-horizontal-relative:page;mso-position-vertical-relative:page;z-index:-123616" coordorigin="9678,4635" coordsize="10,5219">
            <v:shape style="position:absolute;left:9678;top:4635;width:10;height:889" type="#_x0000_t75" stroked="false">
              <v:imagedata r:id="rId158" o:title=""/>
            </v:shape>
            <v:shape style="position:absolute;left:9678;top:5523;width:10;height:670" type="#_x0000_t75" stroked="false">
              <v:imagedata r:id="rId166" o:title=""/>
            </v:shape>
            <v:shape style="position:absolute;left:9678;top:6193;width:10;height:670" type="#_x0000_t75" stroked="false">
              <v:imagedata r:id="rId166" o:title=""/>
            </v:shape>
            <v:shape style="position:absolute;left:9678;top:6863;width:10;height:449" type="#_x0000_t75" stroked="false">
              <v:imagedata r:id="rId171" o:title=""/>
            </v:shape>
            <v:shape style="position:absolute;left:9678;top:7311;width:10;height:512" type="#_x0000_t75" stroked="false">
              <v:imagedata r:id="rId161" o:title=""/>
            </v:shape>
            <v:shape style="position:absolute;left:9678;top:7823;width:10;height:509" type="#_x0000_t75" stroked="false">
              <v:imagedata r:id="rId170" o:title=""/>
            </v:shape>
            <v:shape style="position:absolute;left:9678;top:8332;width:10;height:512" type="#_x0000_t75" stroked="false">
              <v:imagedata r:id="rId172" o:title=""/>
            </v:shape>
            <v:shape style="position:absolute;left:9678;top:8843;width:10;height:509" type="#_x0000_t75" stroked="false">
              <v:imagedata r:id="rId173" o:title=""/>
            </v:shape>
            <v:shape style="position:absolute;left:9678;top:9352;width:10;height:502" type="#_x0000_t75" stroked="false">
              <v:imagedata r:id="rId164" o:title=""/>
            </v:shape>
            <w10:wrap type="none"/>
          </v:group>
        </w:pict>
      </w:r>
      <w:r>
        <w:rPr/>
        <w:drawing>
          <wp:anchor distT="0" distB="0" distL="0" distR="0" allowOverlap="1" layoutInCell="1" locked="0" behindDoc="1" simplePos="0" relativeHeight="268311863">
            <wp:simplePos x="0" y="0"/>
            <wp:positionH relativeFrom="page">
              <wp:posOffset>8395461</wp:posOffset>
            </wp:positionH>
            <wp:positionV relativeFrom="page">
              <wp:posOffset>1252982</wp:posOffset>
            </wp:positionV>
            <wp:extent cx="6097" cy="5006340"/>
            <wp:effectExtent l="0" t="0" r="0" b="0"/>
            <wp:wrapNone/>
            <wp:docPr id="21" name="image117.png" descr=""/>
            <wp:cNvGraphicFramePr>
              <a:graphicFrameLocks noChangeAspect="1"/>
            </wp:cNvGraphicFramePr>
            <a:graphic>
              <a:graphicData uri="http://schemas.openxmlformats.org/drawingml/2006/picture">
                <pic:pic>
                  <pic:nvPicPr>
                    <pic:cNvPr id="22" name="image117.png"/>
                    <pic:cNvPicPr/>
                  </pic:nvPicPr>
                  <pic:blipFill>
                    <a:blip r:embed="rId174" cstate="print"/>
                    <a:stretch>
                      <a:fillRect/>
                    </a:stretch>
                  </pic:blipFill>
                  <pic:spPr>
                    <a:xfrm>
                      <a:off x="0" y="0"/>
                      <a:ext cx="6097" cy="5006340"/>
                    </a:xfrm>
                    <a:prstGeom prst="rect">
                      <a:avLst/>
                    </a:prstGeom>
                  </pic:spPr>
                </pic:pic>
              </a:graphicData>
            </a:graphic>
          </wp:anchor>
        </w:drawing>
      </w: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9"/>
        <w:gridCol w:w="1837"/>
        <w:gridCol w:w="5107"/>
        <w:gridCol w:w="3536"/>
        <w:gridCol w:w="2274"/>
      </w:tblGrid>
      <w:tr>
        <w:trPr>
          <w:trHeight w:val="513" w:hRule="atLeast"/>
        </w:trPr>
        <w:tc>
          <w:tcPr>
            <w:tcW w:w="14163" w:type="dxa"/>
            <w:gridSpan w:val="5"/>
            <w:tcBorders>
              <w:left w:val="single" w:sz="12" w:space="0" w:color="000000"/>
              <w:right w:val="single" w:sz="12" w:space="0" w:color="000000"/>
            </w:tcBorders>
            <w:shd w:val="clear" w:color="auto" w:fill="E7E6E6"/>
          </w:tcPr>
          <w:p>
            <w:pPr>
              <w:pStyle w:val="TableParagraph"/>
              <w:spacing w:line="292" w:lineRule="exact"/>
              <w:ind w:left="107"/>
              <w:rPr>
                <w:b/>
                <w:sz w:val="24"/>
              </w:rPr>
            </w:pPr>
            <w:r>
              <w:rPr>
                <w:b/>
                <w:sz w:val="24"/>
              </w:rPr>
              <w:t>II.a General IVDs for health care facilities with clinical laboratories</w:t>
            </w:r>
          </w:p>
          <w:p>
            <w:pPr>
              <w:pStyle w:val="TableParagraph"/>
              <w:spacing w:line="201" w:lineRule="exact"/>
              <w:ind w:left="107"/>
              <w:rPr>
                <w:sz w:val="18"/>
              </w:rPr>
            </w:pPr>
            <w:r>
              <w:rPr>
                <w:sz w:val="18"/>
              </w:rPr>
              <w:t>Note: See list of WHO supporting documents at the end.</w:t>
            </w:r>
          </w:p>
        </w:tc>
      </w:tr>
      <w:tr>
        <w:trPr>
          <w:trHeight w:val="414" w:hRule="atLeast"/>
        </w:trPr>
        <w:tc>
          <w:tcPr>
            <w:tcW w:w="1409" w:type="dxa"/>
            <w:tcBorders>
              <w:left w:val="single" w:sz="12" w:space="0" w:color="000000"/>
              <w:right w:val="nil"/>
            </w:tcBorders>
            <w:shd w:val="clear" w:color="auto" w:fill="E7E6E6"/>
          </w:tcPr>
          <w:p>
            <w:pPr>
              <w:pStyle w:val="TableParagraph"/>
              <w:ind w:left="1399" w:right="-58"/>
              <w:rPr>
                <w:rFonts w:ascii="Times New Roman"/>
                <w:sz w:val="20"/>
              </w:rPr>
            </w:pPr>
            <w:r>
              <w:rPr>
                <w:rFonts w:ascii="Times New Roman"/>
                <w:sz w:val="20"/>
              </w:rPr>
              <w:drawing>
                <wp:inline distT="0" distB="0" distL="0" distR="0">
                  <wp:extent cx="6069" cy="262509"/>
                  <wp:effectExtent l="0" t="0" r="0" b="0"/>
                  <wp:docPr id="23" name="image118.png" descr=""/>
                  <wp:cNvGraphicFramePr>
                    <a:graphicFrameLocks noChangeAspect="1"/>
                  </wp:cNvGraphicFramePr>
                  <a:graphic>
                    <a:graphicData uri="http://schemas.openxmlformats.org/drawingml/2006/picture">
                      <pic:pic>
                        <pic:nvPicPr>
                          <pic:cNvPr id="24" name="image118.png"/>
                          <pic:cNvPicPr/>
                        </pic:nvPicPr>
                        <pic:blipFill>
                          <a:blip r:embed="rId175" cstate="print"/>
                          <a:stretch>
                            <a:fillRect/>
                          </a:stretch>
                        </pic:blipFill>
                        <pic:spPr>
                          <a:xfrm>
                            <a:off x="0" y="0"/>
                            <a:ext cx="6069" cy="262509"/>
                          </a:xfrm>
                          <a:prstGeom prst="rect">
                            <a:avLst/>
                          </a:prstGeom>
                        </pic:spPr>
                      </pic:pic>
                    </a:graphicData>
                  </a:graphic>
                </wp:inline>
              </w:drawing>
            </w:r>
            <w:r>
              <w:rPr>
                <w:rFonts w:ascii="Times New Roman"/>
                <w:sz w:val="20"/>
              </w:rPr>
            </w:r>
          </w:p>
          <w:p>
            <w:pPr>
              <w:pStyle w:val="TableParagraph"/>
              <w:spacing w:line="20" w:lineRule="exact"/>
              <w:ind w:left="1399" w:right="-58"/>
              <w:rPr>
                <w:rFonts w:ascii="Times New Roman"/>
                <w:sz w:val="2"/>
              </w:rPr>
            </w:pPr>
            <w:r>
              <w:rPr>
                <w:rFonts w:ascii="Times New Roman"/>
                <w:sz w:val="2"/>
              </w:rPr>
              <w:drawing>
                <wp:inline distT="0" distB="0" distL="0" distR="0">
                  <wp:extent cx="6001" cy="6000"/>
                  <wp:effectExtent l="0" t="0" r="0" b="0"/>
                  <wp:docPr id="25" name="image111.png" descr=""/>
                  <wp:cNvGraphicFramePr>
                    <a:graphicFrameLocks noChangeAspect="1"/>
                  </wp:cNvGraphicFramePr>
                  <a:graphic>
                    <a:graphicData uri="http://schemas.openxmlformats.org/drawingml/2006/picture">
                      <pic:pic>
                        <pic:nvPicPr>
                          <pic:cNvPr id="26" name="image111.png"/>
                          <pic:cNvPicPr/>
                        </pic:nvPicPr>
                        <pic:blipFill>
                          <a:blip r:embed="rId168" cstate="print"/>
                          <a:stretch>
                            <a:fillRect/>
                          </a:stretch>
                        </pic:blipFill>
                        <pic:spPr>
                          <a:xfrm>
                            <a:off x="0" y="0"/>
                            <a:ext cx="6001" cy="6000"/>
                          </a:xfrm>
                          <a:prstGeom prst="rect">
                            <a:avLst/>
                          </a:prstGeom>
                        </pic:spPr>
                      </pic:pic>
                    </a:graphicData>
                  </a:graphic>
                </wp:inline>
              </w:drawing>
            </w:r>
            <w:r>
              <w:rPr>
                <w:rFonts w:ascii="Times New Roman"/>
                <w:sz w:val="2"/>
              </w:rPr>
            </w:r>
          </w:p>
        </w:tc>
        <w:tc>
          <w:tcPr>
            <w:tcW w:w="1837" w:type="dxa"/>
            <w:tcBorders>
              <w:left w:val="nil"/>
              <w:right w:val="nil"/>
            </w:tcBorders>
            <w:shd w:val="clear" w:color="auto" w:fill="E7E6E6"/>
          </w:tcPr>
          <w:p>
            <w:pPr>
              <w:pStyle w:val="TableParagraph"/>
              <w:spacing w:line="194" w:lineRule="exact"/>
              <w:ind w:left="117"/>
              <w:rPr>
                <w:b/>
                <w:sz w:val="16"/>
              </w:rPr>
            </w:pPr>
            <w:r>
              <w:rPr>
                <w:b/>
                <w:sz w:val="16"/>
              </w:rPr>
              <w:t>Diagnostic test</w:t>
            </w:r>
          </w:p>
          <w:p>
            <w:pPr>
              <w:pStyle w:val="TableParagraph"/>
              <w:spacing w:before="2"/>
              <w:rPr>
                <w:rFonts w:ascii="Times New Roman"/>
                <w:sz w:val="19"/>
              </w:rPr>
            </w:pPr>
          </w:p>
          <w:p>
            <w:pPr>
              <w:pStyle w:val="TableParagraph"/>
              <w:spacing w:line="20" w:lineRule="exact"/>
              <w:ind w:left="1848" w:right="-72"/>
              <w:rPr>
                <w:rFonts w:ascii="Times New Roman"/>
                <w:sz w:val="2"/>
              </w:rPr>
            </w:pPr>
            <w:r>
              <w:rPr>
                <w:rFonts w:ascii="Times New Roman"/>
                <w:sz w:val="2"/>
              </w:rPr>
              <w:drawing>
                <wp:inline distT="0" distB="0" distL="0" distR="0">
                  <wp:extent cx="6001" cy="6000"/>
                  <wp:effectExtent l="0" t="0" r="0" b="0"/>
                  <wp:docPr id="27" name="image111.png" descr=""/>
                  <wp:cNvGraphicFramePr>
                    <a:graphicFrameLocks noChangeAspect="1"/>
                  </wp:cNvGraphicFramePr>
                  <a:graphic>
                    <a:graphicData uri="http://schemas.openxmlformats.org/drawingml/2006/picture">
                      <pic:pic>
                        <pic:nvPicPr>
                          <pic:cNvPr id="28" name="image111.png"/>
                          <pic:cNvPicPr/>
                        </pic:nvPicPr>
                        <pic:blipFill>
                          <a:blip r:embed="rId168" cstate="print"/>
                          <a:stretch>
                            <a:fillRect/>
                          </a:stretch>
                        </pic:blipFill>
                        <pic:spPr>
                          <a:xfrm>
                            <a:off x="0" y="0"/>
                            <a:ext cx="6001" cy="6000"/>
                          </a:xfrm>
                          <a:prstGeom prst="rect">
                            <a:avLst/>
                          </a:prstGeom>
                        </pic:spPr>
                      </pic:pic>
                    </a:graphicData>
                  </a:graphic>
                </wp:inline>
              </w:drawing>
            </w:r>
            <w:r>
              <w:rPr>
                <w:rFonts w:ascii="Times New Roman"/>
                <w:sz w:val="2"/>
              </w:rPr>
            </w:r>
          </w:p>
        </w:tc>
        <w:tc>
          <w:tcPr>
            <w:tcW w:w="5107" w:type="dxa"/>
            <w:tcBorders>
              <w:left w:val="nil"/>
              <w:right w:val="nil"/>
            </w:tcBorders>
            <w:shd w:val="clear" w:color="auto" w:fill="E7E6E6"/>
          </w:tcPr>
          <w:p>
            <w:pPr>
              <w:pStyle w:val="TableParagraph"/>
              <w:spacing w:line="194" w:lineRule="exact"/>
              <w:ind w:left="121"/>
              <w:rPr>
                <w:b/>
                <w:sz w:val="16"/>
              </w:rPr>
            </w:pPr>
            <w:r>
              <w:rPr>
                <w:b/>
                <w:sz w:val="16"/>
              </w:rPr>
              <w:t>Test purpose</w:t>
            </w:r>
          </w:p>
        </w:tc>
        <w:tc>
          <w:tcPr>
            <w:tcW w:w="3536" w:type="dxa"/>
            <w:tcBorders>
              <w:left w:val="nil"/>
              <w:right w:val="nil"/>
            </w:tcBorders>
            <w:shd w:val="clear" w:color="auto" w:fill="E7E6E6"/>
          </w:tcPr>
          <w:p>
            <w:pPr>
              <w:pStyle w:val="TableParagraph"/>
              <w:spacing w:line="194" w:lineRule="exact"/>
              <w:ind w:left="120"/>
              <w:rPr>
                <w:b/>
                <w:sz w:val="16"/>
              </w:rPr>
            </w:pPr>
            <w:r>
              <w:rPr>
                <w:b/>
                <w:sz w:val="16"/>
              </w:rPr>
              <w:t>Assay format</w:t>
            </w:r>
          </w:p>
        </w:tc>
        <w:tc>
          <w:tcPr>
            <w:tcW w:w="2274" w:type="dxa"/>
            <w:tcBorders>
              <w:left w:val="nil"/>
              <w:right w:val="single" w:sz="12" w:space="0" w:color="000000"/>
            </w:tcBorders>
            <w:shd w:val="clear" w:color="auto" w:fill="E7E6E6"/>
          </w:tcPr>
          <w:p>
            <w:pPr>
              <w:pStyle w:val="TableParagraph"/>
              <w:spacing w:line="194" w:lineRule="exact"/>
              <w:ind w:left="127"/>
              <w:rPr>
                <w:b/>
                <w:sz w:val="16"/>
              </w:rPr>
            </w:pPr>
            <w:r>
              <w:rPr>
                <w:b/>
                <w:sz w:val="16"/>
              </w:rPr>
              <w:t>Specimen type</w:t>
            </w:r>
          </w:p>
        </w:tc>
      </w:tr>
      <w:tr>
        <w:trPr>
          <w:trHeight w:val="418" w:hRule="atLeast"/>
        </w:trPr>
        <w:tc>
          <w:tcPr>
            <w:tcW w:w="1409" w:type="dxa"/>
            <w:vMerge w:val="restart"/>
            <w:tcBorders>
              <w:left w:val="single" w:sz="12" w:space="0" w:color="000000"/>
              <w:right w:val="nil"/>
            </w:tcBorders>
          </w:tcPr>
          <w:p>
            <w:pPr>
              <w:pStyle w:val="TableParagraph"/>
              <w:spacing w:line="198" w:lineRule="exact"/>
              <w:ind w:left="107"/>
              <w:rPr>
                <w:sz w:val="18"/>
              </w:rPr>
            </w:pPr>
            <w:r>
              <w:rPr>
                <w:sz w:val="18"/>
              </w:rPr>
              <w:t>Clinical</w:t>
            </w:r>
          </w:p>
          <w:p>
            <w:pPr>
              <w:pStyle w:val="TableParagraph"/>
              <w:spacing w:before="1"/>
              <w:ind w:left="107" w:right="188"/>
              <w:rPr>
                <w:sz w:val="18"/>
              </w:rPr>
            </w:pPr>
            <w:r>
              <w:rPr>
                <w:sz w:val="18"/>
              </w:rPr>
              <w:t>chemistry and immunoassays</w:t>
            </w:r>
          </w:p>
          <w:p>
            <w:pPr>
              <w:pStyle w:val="TableParagraph"/>
              <w:rPr>
                <w:rFonts w:ascii="Times New Roman"/>
                <w:sz w:val="20"/>
              </w:rPr>
            </w:pPr>
          </w:p>
          <w:p>
            <w:pPr>
              <w:pStyle w:val="TableParagraph"/>
              <w:spacing w:before="11"/>
              <w:rPr>
                <w:rFonts w:ascii="Times New Roman"/>
                <w:sz w:val="19"/>
              </w:rPr>
            </w:pPr>
          </w:p>
          <w:p>
            <w:pPr>
              <w:pStyle w:val="TableParagraph"/>
              <w:ind w:left="1399" w:right="-58"/>
              <w:rPr>
                <w:rFonts w:ascii="Times New Roman"/>
                <w:sz w:val="20"/>
              </w:rPr>
            </w:pPr>
            <w:r>
              <w:rPr>
                <w:rFonts w:ascii="Times New Roman"/>
                <w:sz w:val="20"/>
              </w:rPr>
              <w:drawing>
                <wp:inline distT="0" distB="0" distL="0" distR="0">
                  <wp:extent cx="6095" cy="425196"/>
                  <wp:effectExtent l="0" t="0" r="0" b="0"/>
                  <wp:docPr id="29" name="image119.png" descr=""/>
                  <wp:cNvGraphicFramePr>
                    <a:graphicFrameLocks noChangeAspect="1"/>
                  </wp:cNvGraphicFramePr>
                  <a:graphic>
                    <a:graphicData uri="http://schemas.openxmlformats.org/drawingml/2006/picture">
                      <pic:pic>
                        <pic:nvPicPr>
                          <pic:cNvPr id="30" name="image119.png"/>
                          <pic:cNvPicPr/>
                        </pic:nvPicPr>
                        <pic:blipFill>
                          <a:blip r:embed="rId176" cstate="print"/>
                          <a:stretch>
                            <a:fillRect/>
                          </a:stretch>
                        </pic:blipFill>
                        <pic:spPr>
                          <a:xfrm>
                            <a:off x="0" y="0"/>
                            <a:ext cx="6095" cy="425196"/>
                          </a:xfrm>
                          <a:prstGeom prst="rect">
                            <a:avLst/>
                          </a:prstGeom>
                        </pic:spPr>
                      </pic:pic>
                    </a:graphicData>
                  </a:graphic>
                </wp:inline>
              </w:drawing>
            </w:r>
            <w:r>
              <w:rPr>
                <w:rFonts w:ascii="Times New Roman"/>
                <w:sz w:val="20"/>
              </w:rPr>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tc>
        <w:tc>
          <w:tcPr>
            <w:tcW w:w="1837" w:type="dxa"/>
            <w:tcBorders>
              <w:left w:val="nil"/>
              <w:right w:val="nil"/>
            </w:tcBorders>
          </w:tcPr>
          <w:p>
            <w:pPr>
              <w:pStyle w:val="TableParagraph"/>
              <w:spacing w:line="198" w:lineRule="exact"/>
              <w:ind w:left="117"/>
              <w:rPr>
                <w:sz w:val="18"/>
              </w:rPr>
            </w:pPr>
            <w:r>
              <w:rPr>
                <w:sz w:val="18"/>
              </w:rPr>
              <w:t>Glucose</w:t>
            </w:r>
          </w:p>
          <w:p>
            <w:pPr>
              <w:pStyle w:val="TableParagraph"/>
              <w:spacing w:before="1" w:after="1"/>
              <w:rPr>
                <w:rFonts w:ascii="Times New Roman"/>
                <w:sz w:val="19"/>
              </w:rPr>
            </w:pPr>
          </w:p>
          <w:p>
            <w:pPr>
              <w:pStyle w:val="TableParagraph"/>
              <w:spacing w:line="20" w:lineRule="exact"/>
              <w:ind w:left="1848" w:right="-72"/>
              <w:rPr>
                <w:rFonts w:ascii="Times New Roman"/>
                <w:sz w:val="2"/>
              </w:rPr>
            </w:pPr>
            <w:r>
              <w:rPr>
                <w:rFonts w:ascii="Times New Roman"/>
                <w:sz w:val="2"/>
              </w:rPr>
              <w:drawing>
                <wp:inline distT="0" distB="0" distL="0" distR="0">
                  <wp:extent cx="6001" cy="6000"/>
                  <wp:effectExtent l="0" t="0" r="0" b="0"/>
                  <wp:docPr id="31" name="image111.png" descr=""/>
                  <wp:cNvGraphicFramePr>
                    <a:graphicFrameLocks noChangeAspect="1"/>
                  </wp:cNvGraphicFramePr>
                  <a:graphic>
                    <a:graphicData uri="http://schemas.openxmlformats.org/drawingml/2006/picture">
                      <pic:pic>
                        <pic:nvPicPr>
                          <pic:cNvPr id="32" name="image111.png"/>
                          <pic:cNvPicPr/>
                        </pic:nvPicPr>
                        <pic:blipFill>
                          <a:blip r:embed="rId168" cstate="print"/>
                          <a:stretch>
                            <a:fillRect/>
                          </a:stretch>
                        </pic:blipFill>
                        <pic:spPr>
                          <a:xfrm>
                            <a:off x="0" y="0"/>
                            <a:ext cx="6001" cy="6000"/>
                          </a:xfrm>
                          <a:prstGeom prst="rect">
                            <a:avLst/>
                          </a:prstGeom>
                        </pic:spPr>
                      </pic:pic>
                    </a:graphicData>
                  </a:graphic>
                </wp:inline>
              </w:drawing>
            </w:r>
            <w:r>
              <w:rPr>
                <w:rFonts w:ascii="Times New Roman"/>
                <w:sz w:val="2"/>
              </w:rPr>
            </w:r>
          </w:p>
        </w:tc>
        <w:tc>
          <w:tcPr>
            <w:tcW w:w="5107" w:type="dxa"/>
            <w:tcBorders>
              <w:left w:val="nil"/>
              <w:right w:val="nil"/>
            </w:tcBorders>
          </w:tcPr>
          <w:p>
            <w:pPr>
              <w:pStyle w:val="TableParagraph"/>
              <w:spacing w:line="198" w:lineRule="exact"/>
              <w:ind w:left="121"/>
              <w:rPr>
                <w:sz w:val="18"/>
              </w:rPr>
            </w:pPr>
            <w:r>
              <w:rPr>
                <w:sz w:val="18"/>
              </w:rPr>
              <w:t>To diagnose and screen for diabetes and intermediate</w:t>
            </w:r>
          </w:p>
          <w:p>
            <w:pPr>
              <w:pStyle w:val="TableParagraph"/>
              <w:spacing w:line="199" w:lineRule="exact" w:before="1"/>
              <w:ind w:left="121"/>
              <w:rPr>
                <w:sz w:val="18"/>
              </w:rPr>
            </w:pPr>
            <w:r>
              <w:rPr>
                <w:sz w:val="18"/>
              </w:rPr>
              <w:t>hypoglycaemia</w:t>
            </w:r>
          </w:p>
        </w:tc>
        <w:tc>
          <w:tcPr>
            <w:tcW w:w="3536" w:type="dxa"/>
            <w:tcBorders>
              <w:left w:val="nil"/>
              <w:right w:val="nil"/>
            </w:tcBorders>
          </w:tcPr>
          <w:p>
            <w:pPr>
              <w:pStyle w:val="TableParagraph"/>
              <w:spacing w:line="198" w:lineRule="exact"/>
              <w:ind w:left="120"/>
              <w:rPr>
                <w:sz w:val="18"/>
              </w:rPr>
            </w:pPr>
            <w:r>
              <w:rPr>
                <w:sz w:val="18"/>
              </w:rPr>
              <w:t>Automated analyser</w:t>
            </w:r>
          </w:p>
        </w:tc>
        <w:tc>
          <w:tcPr>
            <w:tcW w:w="2274" w:type="dxa"/>
            <w:tcBorders>
              <w:left w:val="nil"/>
              <w:right w:val="single" w:sz="12" w:space="0" w:color="000000"/>
            </w:tcBorders>
          </w:tcPr>
          <w:p>
            <w:pPr>
              <w:pStyle w:val="TableParagraph"/>
              <w:spacing w:line="198" w:lineRule="exact"/>
              <w:ind w:left="127"/>
              <w:rPr>
                <w:sz w:val="18"/>
              </w:rPr>
            </w:pPr>
            <w:r>
              <w:rPr>
                <w:sz w:val="18"/>
              </w:rPr>
              <w:t>Plasma</w:t>
            </w:r>
          </w:p>
          <w:p>
            <w:pPr>
              <w:pStyle w:val="TableParagraph"/>
              <w:spacing w:line="199" w:lineRule="exact" w:before="1"/>
              <w:ind w:left="127"/>
              <w:rPr>
                <w:sz w:val="18"/>
              </w:rPr>
            </w:pPr>
            <w:r>
              <w:rPr>
                <w:sz w:val="18"/>
              </w:rPr>
              <w:t>Serum</w:t>
            </w:r>
          </w:p>
        </w:tc>
      </w:tr>
      <w:tr>
        <w:trPr>
          <w:trHeight w:val="640" w:hRule="atLeast"/>
        </w:trPr>
        <w:tc>
          <w:tcPr>
            <w:tcW w:w="1409" w:type="dxa"/>
            <w:vMerge/>
            <w:tcBorders>
              <w:top w:val="nil"/>
              <w:left w:val="single" w:sz="12" w:space="0" w:color="000000"/>
              <w:right w:val="nil"/>
            </w:tcBorders>
          </w:tcPr>
          <w:p>
            <w:pPr>
              <w:rPr>
                <w:sz w:val="2"/>
                <w:szCs w:val="2"/>
              </w:rPr>
            </w:pPr>
          </w:p>
        </w:tc>
        <w:tc>
          <w:tcPr>
            <w:tcW w:w="1837" w:type="dxa"/>
            <w:tcBorders>
              <w:left w:val="nil"/>
              <w:right w:val="nil"/>
            </w:tcBorders>
          </w:tcPr>
          <w:p>
            <w:pPr>
              <w:pStyle w:val="TableParagraph"/>
              <w:spacing w:line="198" w:lineRule="exact"/>
              <w:ind w:left="117"/>
              <w:rPr>
                <w:sz w:val="18"/>
              </w:rPr>
            </w:pPr>
            <w:r>
              <w:rPr>
                <w:sz w:val="18"/>
              </w:rPr>
              <w:t>Haemoglobin A1c</w:t>
            </w:r>
          </w:p>
          <w:p>
            <w:pPr>
              <w:pStyle w:val="TableParagraph"/>
              <w:spacing w:before="1"/>
              <w:ind w:left="117"/>
              <w:rPr>
                <w:sz w:val="18"/>
              </w:rPr>
            </w:pPr>
            <w:r>
              <w:rPr>
                <w:sz w:val="18"/>
              </w:rPr>
              <w:t>(HbA1c)</w:t>
            </w:r>
          </w:p>
          <w:p>
            <w:pPr>
              <w:pStyle w:val="TableParagraph"/>
              <w:spacing w:before="2"/>
              <w:rPr>
                <w:rFonts w:ascii="Times New Roman"/>
                <w:sz w:val="19"/>
              </w:rPr>
            </w:pPr>
          </w:p>
          <w:p>
            <w:pPr>
              <w:pStyle w:val="TableParagraph"/>
              <w:spacing w:line="20" w:lineRule="exact"/>
              <w:ind w:left="1848" w:right="-72"/>
              <w:rPr>
                <w:rFonts w:ascii="Times New Roman"/>
                <w:sz w:val="2"/>
              </w:rPr>
            </w:pPr>
            <w:r>
              <w:rPr>
                <w:rFonts w:ascii="Times New Roman"/>
                <w:sz w:val="2"/>
              </w:rPr>
              <w:drawing>
                <wp:inline distT="0" distB="0" distL="0" distR="0">
                  <wp:extent cx="6095" cy="6096"/>
                  <wp:effectExtent l="0" t="0" r="0" b="0"/>
                  <wp:docPr id="33" name="image111.png" descr=""/>
                  <wp:cNvGraphicFramePr>
                    <a:graphicFrameLocks noChangeAspect="1"/>
                  </wp:cNvGraphicFramePr>
                  <a:graphic>
                    <a:graphicData uri="http://schemas.openxmlformats.org/drawingml/2006/picture">
                      <pic:pic>
                        <pic:nvPicPr>
                          <pic:cNvPr id="34" name="image111.png"/>
                          <pic:cNvPicPr/>
                        </pic:nvPicPr>
                        <pic:blipFill>
                          <a:blip r:embed="rId168" cstate="print"/>
                          <a:stretch>
                            <a:fillRect/>
                          </a:stretch>
                        </pic:blipFill>
                        <pic:spPr>
                          <a:xfrm>
                            <a:off x="0" y="0"/>
                            <a:ext cx="6095" cy="6096"/>
                          </a:xfrm>
                          <a:prstGeom prst="rect">
                            <a:avLst/>
                          </a:prstGeom>
                        </pic:spPr>
                      </pic:pic>
                    </a:graphicData>
                  </a:graphic>
                </wp:inline>
              </w:drawing>
            </w:r>
            <w:r>
              <w:rPr>
                <w:rFonts w:ascii="Times New Roman"/>
                <w:sz w:val="2"/>
              </w:rPr>
            </w:r>
          </w:p>
        </w:tc>
        <w:tc>
          <w:tcPr>
            <w:tcW w:w="5107" w:type="dxa"/>
            <w:tcBorders>
              <w:left w:val="nil"/>
              <w:right w:val="nil"/>
            </w:tcBorders>
          </w:tcPr>
          <w:p>
            <w:pPr>
              <w:pStyle w:val="TableParagraph"/>
              <w:spacing w:line="198" w:lineRule="exact"/>
              <w:ind w:left="121"/>
              <w:rPr>
                <w:sz w:val="18"/>
              </w:rPr>
            </w:pPr>
            <w:r>
              <w:rPr>
                <w:sz w:val="18"/>
              </w:rPr>
              <w:t>Diagnosis and monitoring of diabetes mellitus</w:t>
            </w:r>
          </w:p>
        </w:tc>
        <w:tc>
          <w:tcPr>
            <w:tcW w:w="3536" w:type="dxa"/>
            <w:tcBorders>
              <w:left w:val="nil"/>
              <w:right w:val="nil"/>
            </w:tcBorders>
          </w:tcPr>
          <w:p>
            <w:pPr>
              <w:pStyle w:val="TableParagraph"/>
              <w:spacing w:line="198" w:lineRule="exact"/>
              <w:ind w:left="120"/>
              <w:rPr>
                <w:sz w:val="18"/>
              </w:rPr>
            </w:pPr>
            <w:r>
              <w:rPr>
                <w:sz w:val="18"/>
              </w:rPr>
              <w:t>ELISA</w:t>
            </w:r>
          </w:p>
          <w:p>
            <w:pPr>
              <w:pStyle w:val="TableParagraph"/>
              <w:spacing w:before="1"/>
              <w:ind w:left="120"/>
              <w:rPr>
                <w:sz w:val="18"/>
              </w:rPr>
            </w:pPr>
            <w:r>
              <w:rPr>
                <w:sz w:val="18"/>
              </w:rPr>
              <w:t>Automated analyser</w:t>
            </w:r>
          </w:p>
        </w:tc>
        <w:tc>
          <w:tcPr>
            <w:tcW w:w="2274" w:type="dxa"/>
            <w:tcBorders>
              <w:left w:val="nil"/>
              <w:right w:val="single" w:sz="12" w:space="0" w:color="000000"/>
            </w:tcBorders>
          </w:tcPr>
          <w:p>
            <w:pPr>
              <w:pStyle w:val="TableParagraph"/>
              <w:spacing w:line="198" w:lineRule="exact"/>
              <w:ind w:left="127"/>
              <w:rPr>
                <w:sz w:val="18"/>
              </w:rPr>
            </w:pPr>
            <w:r>
              <w:rPr>
                <w:sz w:val="18"/>
              </w:rPr>
              <w:t>Capillary venous blood</w:t>
            </w:r>
          </w:p>
          <w:p>
            <w:pPr>
              <w:pStyle w:val="TableParagraph"/>
              <w:spacing w:before="1"/>
              <w:ind w:left="127"/>
              <w:rPr>
                <w:sz w:val="18"/>
              </w:rPr>
            </w:pPr>
            <w:r>
              <w:rPr>
                <w:sz w:val="18"/>
              </w:rPr>
              <w:t>Venous whole blood</w:t>
            </w:r>
          </w:p>
        </w:tc>
      </w:tr>
      <w:tr>
        <w:trPr>
          <w:trHeight w:val="639" w:hRule="atLeast"/>
        </w:trPr>
        <w:tc>
          <w:tcPr>
            <w:tcW w:w="1409" w:type="dxa"/>
            <w:vMerge/>
            <w:tcBorders>
              <w:top w:val="nil"/>
              <w:left w:val="single" w:sz="12" w:space="0" w:color="000000"/>
              <w:right w:val="nil"/>
            </w:tcBorders>
          </w:tcPr>
          <w:p>
            <w:pPr>
              <w:rPr>
                <w:sz w:val="2"/>
                <w:szCs w:val="2"/>
              </w:rPr>
            </w:pPr>
          </w:p>
        </w:tc>
        <w:tc>
          <w:tcPr>
            <w:tcW w:w="1837" w:type="dxa"/>
            <w:tcBorders>
              <w:left w:val="nil"/>
              <w:right w:val="nil"/>
            </w:tcBorders>
          </w:tcPr>
          <w:p>
            <w:pPr>
              <w:pStyle w:val="TableParagraph"/>
              <w:spacing w:line="198" w:lineRule="exact"/>
              <w:ind w:left="117"/>
              <w:rPr>
                <w:sz w:val="18"/>
              </w:rPr>
            </w:pPr>
            <w:r>
              <w:rPr>
                <w:sz w:val="18"/>
              </w:rPr>
              <w:t>C-reactive protein</w:t>
            </w:r>
          </w:p>
          <w:p>
            <w:pPr>
              <w:pStyle w:val="TableParagraph"/>
              <w:spacing w:before="1"/>
              <w:ind w:left="117"/>
              <w:rPr>
                <w:sz w:val="18"/>
              </w:rPr>
            </w:pPr>
            <w:r>
              <w:rPr>
                <w:sz w:val="18"/>
              </w:rPr>
              <w:t>(CRP)</w:t>
            </w:r>
          </w:p>
          <w:p>
            <w:pPr>
              <w:pStyle w:val="TableParagraph"/>
              <w:spacing w:before="2"/>
              <w:rPr>
                <w:rFonts w:ascii="Times New Roman"/>
                <w:sz w:val="19"/>
              </w:rPr>
            </w:pPr>
          </w:p>
          <w:p>
            <w:pPr>
              <w:pStyle w:val="TableParagraph"/>
              <w:spacing w:line="20" w:lineRule="exact"/>
              <w:ind w:left="1848" w:right="-72"/>
              <w:rPr>
                <w:rFonts w:ascii="Times New Roman"/>
                <w:sz w:val="2"/>
              </w:rPr>
            </w:pPr>
            <w:r>
              <w:rPr>
                <w:rFonts w:ascii="Times New Roman"/>
                <w:sz w:val="2"/>
              </w:rPr>
              <w:drawing>
                <wp:inline distT="0" distB="0" distL="0" distR="0">
                  <wp:extent cx="6001" cy="6000"/>
                  <wp:effectExtent l="0" t="0" r="0" b="0"/>
                  <wp:docPr id="35" name="image111.png" descr=""/>
                  <wp:cNvGraphicFramePr>
                    <a:graphicFrameLocks noChangeAspect="1"/>
                  </wp:cNvGraphicFramePr>
                  <a:graphic>
                    <a:graphicData uri="http://schemas.openxmlformats.org/drawingml/2006/picture">
                      <pic:pic>
                        <pic:nvPicPr>
                          <pic:cNvPr id="36" name="image111.png"/>
                          <pic:cNvPicPr/>
                        </pic:nvPicPr>
                        <pic:blipFill>
                          <a:blip r:embed="rId168" cstate="print"/>
                          <a:stretch>
                            <a:fillRect/>
                          </a:stretch>
                        </pic:blipFill>
                        <pic:spPr>
                          <a:xfrm>
                            <a:off x="0" y="0"/>
                            <a:ext cx="6001" cy="6000"/>
                          </a:xfrm>
                          <a:prstGeom prst="rect">
                            <a:avLst/>
                          </a:prstGeom>
                        </pic:spPr>
                      </pic:pic>
                    </a:graphicData>
                  </a:graphic>
                </wp:inline>
              </w:drawing>
            </w:r>
            <w:r>
              <w:rPr>
                <w:rFonts w:ascii="Times New Roman"/>
                <w:sz w:val="2"/>
              </w:rPr>
            </w:r>
          </w:p>
        </w:tc>
        <w:tc>
          <w:tcPr>
            <w:tcW w:w="5107" w:type="dxa"/>
            <w:tcBorders>
              <w:left w:val="nil"/>
              <w:right w:val="nil"/>
            </w:tcBorders>
          </w:tcPr>
          <w:p>
            <w:pPr>
              <w:pStyle w:val="TableParagraph"/>
              <w:spacing w:line="198" w:lineRule="exact"/>
              <w:ind w:left="121"/>
              <w:rPr>
                <w:sz w:val="18"/>
              </w:rPr>
            </w:pPr>
            <w:r>
              <w:rPr>
                <w:sz w:val="18"/>
              </w:rPr>
              <w:t>To detect inflammation as an indicator of various conditions (e.g.</w:t>
            </w:r>
          </w:p>
          <w:p>
            <w:pPr>
              <w:pStyle w:val="TableParagraph"/>
              <w:spacing w:line="219" w:lineRule="exact" w:before="1"/>
              <w:ind w:left="121"/>
              <w:rPr>
                <w:sz w:val="18"/>
              </w:rPr>
            </w:pPr>
            <w:r>
              <w:rPr>
                <w:sz w:val="18"/>
              </w:rPr>
              <w:t>cardiovascular disease [CVD] – high sensitivity CRP required,</w:t>
            </w:r>
          </w:p>
          <w:p>
            <w:pPr>
              <w:pStyle w:val="TableParagraph"/>
              <w:spacing w:line="201" w:lineRule="exact"/>
              <w:ind w:left="121"/>
              <w:rPr>
                <w:sz w:val="18"/>
              </w:rPr>
            </w:pPr>
            <w:r>
              <w:rPr>
                <w:sz w:val="18"/>
              </w:rPr>
              <w:t>sepsis)</w:t>
            </w:r>
          </w:p>
        </w:tc>
        <w:tc>
          <w:tcPr>
            <w:tcW w:w="3536" w:type="dxa"/>
            <w:tcBorders>
              <w:left w:val="nil"/>
              <w:right w:val="nil"/>
            </w:tcBorders>
          </w:tcPr>
          <w:p>
            <w:pPr>
              <w:pStyle w:val="TableParagraph"/>
              <w:spacing w:line="198" w:lineRule="exact"/>
              <w:ind w:left="120"/>
              <w:rPr>
                <w:sz w:val="18"/>
              </w:rPr>
            </w:pPr>
            <w:r>
              <w:rPr>
                <w:sz w:val="18"/>
              </w:rPr>
              <w:t>RDT</w:t>
            </w:r>
          </w:p>
          <w:p>
            <w:pPr>
              <w:pStyle w:val="TableParagraph"/>
              <w:spacing w:before="1"/>
              <w:ind w:left="120"/>
              <w:rPr>
                <w:sz w:val="18"/>
              </w:rPr>
            </w:pPr>
            <w:r>
              <w:rPr>
                <w:sz w:val="18"/>
              </w:rPr>
              <w:t>EIA</w:t>
            </w:r>
          </w:p>
        </w:tc>
        <w:tc>
          <w:tcPr>
            <w:tcW w:w="2274" w:type="dxa"/>
            <w:tcBorders>
              <w:left w:val="nil"/>
              <w:right w:val="single" w:sz="12" w:space="0" w:color="000000"/>
            </w:tcBorders>
          </w:tcPr>
          <w:p>
            <w:pPr>
              <w:pStyle w:val="TableParagraph"/>
              <w:spacing w:line="198" w:lineRule="exact"/>
              <w:ind w:left="127"/>
              <w:rPr>
                <w:sz w:val="18"/>
              </w:rPr>
            </w:pPr>
            <w:r>
              <w:rPr>
                <w:sz w:val="18"/>
              </w:rPr>
              <w:t>Venous whole blood</w:t>
            </w:r>
          </w:p>
          <w:p>
            <w:pPr>
              <w:pStyle w:val="TableParagraph"/>
              <w:spacing w:line="219" w:lineRule="exact" w:before="1"/>
              <w:ind w:left="127"/>
              <w:rPr>
                <w:sz w:val="18"/>
              </w:rPr>
            </w:pPr>
            <w:r>
              <w:rPr>
                <w:sz w:val="18"/>
              </w:rPr>
              <w:t>Serum</w:t>
            </w:r>
          </w:p>
          <w:p>
            <w:pPr>
              <w:pStyle w:val="TableParagraph"/>
              <w:spacing w:line="201" w:lineRule="exact"/>
              <w:ind w:left="127"/>
              <w:rPr>
                <w:sz w:val="18"/>
              </w:rPr>
            </w:pPr>
            <w:r>
              <w:rPr>
                <w:sz w:val="18"/>
              </w:rPr>
              <w:t>Plasma</w:t>
            </w:r>
          </w:p>
        </w:tc>
      </w:tr>
      <w:tr>
        <w:trPr>
          <w:trHeight w:val="418" w:hRule="atLeast"/>
        </w:trPr>
        <w:tc>
          <w:tcPr>
            <w:tcW w:w="1409" w:type="dxa"/>
            <w:vMerge/>
            <w:tcBorders>
              <w:top w:val="nil"/>
              <w:left w:val="single" w:sz="12" w:space="0" w:color="000000"/>
              <w:right w:val="nil"/>
            </w:tcBorders>
          </w:tcPr>
          <w:p>
            <w:pPr>
              <w:rPr>
                <w:sz w:val="2"/>
                <w:szCs w:val="2"/>
              </w:rPr>
            </w:pPr>
          </w:p>
        </w:tc>
        <w:tc>
          <w:tcPr>
            <w:tcW w:w="1837" w:type="dxa"/>
            <w:tcBorders>
              <w:left w:val="nil"/>
              <w:right w:val="nil"/>
            </w:tcBorders>
          </w:tcPr>
          <w:p>
            <w:pPr>
              <w:pStyle w:val="TableParagraph"/>
              <w:spacing w:line="198" w:lineRule="exact"/>
              <w:ind w:left="117"/>
              <w:rPr>
                <w:sz w:val="18"/>
              </w:rPr>
            </w:pPr>
            <w:r>
              <w:rPr>
                <w:sz w:val="18"/>
              </w:rPr>
              <w:t>Lipid profile</w:t>
            </w:r>
          </w:p>
        </w:tc>
        <w:tc>
          <w:tcPr>
            <w:tcW w:w="5107" w:type="dxa"/>
            <w:tcBorders>
              <w:left w:val="nil"/>
              <w:right w:val="nil"/>
            </w:tcBorders>
          </w:tcPr>
          <w:p>
            <w:pPr>
              <w:pStyle w:val="TableParagraph"/>
              <w:spacing w:line="198" w:lineRule="exact"/>
              <w:ind w:left="121"/>
              <w:rPr>
                <w:sz w:val="18"/>
              </w:rPr>
            </w:pPr>
            <w:r>
              <w:rPr>
                <w:sz w:val="18"/>
              </w:rPr>
              <w:t>To assess risk of developing type 2 diabetes and CVD by measuring</w:t>
            </w:r>
          </w:p>
          <w:p>
            <w:pPr>
              <w:pStyle w:val="TableParagraph"/>
              <w:spacing w:line="199" w:lineRule="exact" w:before="1"/>
              <w:ind w:left="121"/>
              <w:rPr>
                <w:sz w:val="18"/>
              </w:rPr>
            </w:pPr>
            <w:r>
              <w:rPr>
                <w:sz w:val="18"/>
              </w:rPr>
              <w:t>cholesterol, triglycerides and lipoproteins</w:t>
            </w:r>
          </w:p>
        </w:tc>
        <w:tc>
          <w:tcPr>
            <w:tcW w:w="3536" w:type="dxa"/>
            <w:tcBorders>
              <w:left w:val="nil"/>
              <w:right w:val="nil"/>
            </w:tcBorders>
          </w:tcPr>
          <w:p>
            <w:pPr>
              <w:pStyle w:val="TableParagraph"/>
              <w:spacing w:line="198" w:lineRule="exact"/>
              <w:ind w:left="120"/>
              <w:rPr>
                <w:sz w:val="18"/>
              </w:rPr>
            </w:pPr>
            <w:r>
              <w:rPr>
                <w:sz w:val="18"/>
              </w:rPr>
              <w:t>Colourimetry</w:t>
            </w:r>
          </w:p>
          <w:p>
            <w:pPr>
              <w:pStyle w:val="TableParagraph"/>
              <w:spacing w:line="199" w:lineRule="exact" w:before="1"/>
              <w:ind w:left="120"/>
              <w:rPr>
                <w:sz w:val="18"/>
              </w:rPr>
            </w:pPr>
            <w:r>
              <w:rPr>
                <w:sz w:val="18"/>
              </w:rPr>
              <w:t>Spectrophotometry</w:t>
            </w:r>
          </w:p>
        </w:tc>
        <w:tc>
          <w:tcPr>
            <w:tcW w:w="2274" w:type="dxa"/>
            <w:tcBorders>
              <w:left w:val="nil"/>
              <w:right w:val="single" w:sz="12" w:space="0" w:color="000000"/>
            </w:tcBorders>
          </w:tcPr>
          <w:p>
            <w:pPr>
              <w:pStyle w:val="TableParagraph"/>
              <w:spacing w:line="198" w:lineRule="exact"/>
              <w:ind w:left="127"/>
              <w:rPr>
                <w:sz w:val="18"/>
              </w:rPr>
            </w:pPr>
            <w:r>
              <w:rPr>
                <w:sz w:val="18"/>
              </w:rPr>
              <w:t>Plasma</w:t>
            </w:r>
          </w:p>
          <w:p>
            <w:pPr>
              <w:pStyle w:val="TableParagraph"/>
              <w:spacing w:line="199" w:lineRule="exact" w:before="1"/>
              <w:ind w:left="127"/>
              <w:rPr>
                <w:sz w:val="18"/>
              </w:rPr>
            </w:pPr>
            <w:r>
              <w:rPr>
                <w:sz w:val="18"/>
              </w:rPr>
              <w:t>Serum</w:t>
            </w:r>
          </w:p>
        </w:tc>
      </w:tr>
      <w:tr>
        <w:trPr>
          <w:trHeight w:val="878" w:hRule="atLeast"/>
        </w:trPr>
        <w:tc>
          <w:tcPr>
            <w:tcW w:w="1409" w:type="dxa"/>
            <w:vMerge/>
            <w:tcBorders>
              <w:top w:val="nil"/>
              <w:left w:val="single" w:sz="12" w:space="0" w:color="000000"/>
              <w:right w:val="nil"/>
            </w:tcBorders>
          </w:tcPr>
          <w:p>
            <w:pPr>
              <w:rPr>
                <w:sz w:val="2"/>
                <w:szCs w:val="2"/>
              </w:rPr>
            </w:pPr>
          </w:p>
        </w:tc>
        <w:tc>
          <w:tcPr>
            <w:tcW w:w="1837" w:type="dxa"/>
            <w:tcBorders>
              <w:left w:val="nil"/>
              <w:right w:val="nil"/>
            </w:tcBorders>
          </w:tcPr>
          <w:p>
            <w:pPr>
              <w:pStyle w:val="TableParagraph"/>
              <w:ind w:left="117" w:right="112"/>
              <w:rPr>
                <w:sz w:val="18"/>
              </w:rPr>
            </w:pPr>
            <w:r>
              <w:rPr>
                <w:sz w:val="18"/>
              </w:rPr>
              <w:t>Basic metabolic panel (BMP)</w:t>
            </w:r>
          </w:p>
        </w:tc>
        <w:tc>
          <w:tcPr>
            <w:tcW w:w="5107" w:type="dxa"/>
            <w:tcBorders>
              <w:left w:val="nil"/>
              <w:right w:val="nil"/>
            </w:tcBorders>
          </w:tcPr>
          <w:p>
            <w:pPr>
              <w:pStyle w:val="TableParagraph"/>
              <w:ind w:left="121"/>
              <w:rPr>
                <w:sz w:val="18"/>
              </w:rPr>
            </w:pPr>
            <w:r>
              <w:rPr>
                <w:sz w:val="18"/>
              </w:rPr>
              <w:t>Includes glucose, sodium chloride, carbon dioxide, BUN, BUN/creatinine ratio and may include calcium</w:t>
            </w:r>
          </w:p>
        </w:tc>
        <w:tc>
          <w:tcPr>
            <w:tcW w:w="3536" w:type="dxa"/>
            <w:tcBorders>
              <w:left w:val="nil"/>
              <w:right w:val="nil"/>
            </w:tcBorders>
          </w:tcPr>
          <w:p>
            <w:pPr>
              <w:pStyle w:val="TableParagraph"/>
              <w:ind w:left="120" w:right="234"/>
              <w:rPr>
                <w:sz w:val="18"/>
              </w:rPr>
            </w:pPr>
            <w:r>
              <w:rPr>
                <w:sz w:val="18"/>
              </w:rPr>
              <w:t>Photometric and colourimetric testing, ion- selective potentiometry</w:t>
            </w:r>
          </w:p>
          <w:p>
            <w:pPr>
              <w:pStyle w:val="TableParagraph"/>
              <w:spacing w:line="219" w:lineRule="exact"/>
              <w:ind w:left="120"/>
              <w:rPr>
                <w:sz w:val="18"/>
              </w:rPr>
            </w:pPr>
            <w:r>
              <w:rPr>
                <w:sz w:val="18"/>
              </w:rPr>
              <w:t>(8-parameter automated clinical chemistry</w:t>
            </w:r>
          </w:p>
          <w:p>
            <w:pPr>
              <w:pStyle w:val="TableParagraph"/>
              <w:spacing w:line="199" w:lineRule="exact"/>
              <w:ind w:left="120"/>
              <w:rPr>
                <w:sz w:val="18"/>
              </w:rPr>
            </w:pPr>
            <w:r>
              <w:rPr>
                <w:sz w:val="18"/>
              </w:rPr>
              <w:t>analyser)</w:t>
            </w:r>
          </w:p>
        </w:tc>
        <w:tc>
          <w:tcPr>
            <w:tcW w:w="2274" w:type="dxa"/>
            <w:tcBorders>
              <w:left w:val="nil"/>
              <w:right w:val="single" w:sz="12" w:space="0" w:color="000000"/>
            </w:tcBorders>
          </w:tcPr>
          <w:p>
            <w:pPr>
              <w:pStyle w:val="TableParagraph"/>
              <w:ind w:left="127" w:right="615"/>
              <w:rPr>
                <w:sz w:val="18"/>
              </w:rPr>
            </w:pPr>
            <w:r>
              <w:rPr>
                <w:sz w:val="18"/>
              </w:rPr>
              <w:t>Venous whole blood Serum</w:t>
            </w:r>
          </w:p>
          <w:p>
            <w:pPr>
              <w:pStyle w:val="TableParagraph"/>
              <w:spacing w:line="219" w:lineRule="exact"/>
              <w:ind w:left="127"/>
              <w:rPr>
                <w:sz w:val="18"/>
              </w:rPr>
            </w:pPr>
            <w:r>
              <w:rPr>
                <w:sz w:val="18"/>
              </w:rPr>
              <w:t>Plasma</w:t>
            </w:r>
          </w:p>
        </w:tc>
      </w:tr>
      <w:tr>
        <w:trPr>
          <w:trHeight w:val="659" w:hRule="atLeast"/>
        </w:trPr>
        <w:tc>
          <w:tcPr>
            <w:tcW w:w="1409" w:type="dxa"/>
            <w:vMerge/>
            <w:tcBorders>
              <w:top w:val="nil"/>
              <w:left w:val="single" w:sz="12" w:space="0" w:color="000000"/>
              <w:right w:val="nil"/>
            </w:tcBorders>
          </w:tcPr>
          <w:p>
            <w:pPr>
              <w:rPr>
                <w:sz w:val="2"/>
                <w:szCs w:val="2"/>
              </w:rPr>
            </w:pPr>
          </w:p>
        </w:tc>
        <w:tc>
          <w:tcPr>
            <w:tcW w:w="1837" w:type="dxa"/>
            <w:tcBorders>
              <w:left w:val="nil"/>
              <w:right w:val="nil"/>
            </w:tcBorders>
          </w:tcPr>
          <w:p>
            <w:pPr>
              <w:pStyle w:val="TableParagraph"/>
              <w:spacing w:before="1"/>
              <w:ind w:left="117" w:right="525"/>
              <w:rPr>
                <w:sz w:val="18"/>
              </w:rPr>
            </w:pPr>
            <w:r>
              <w:rPr>
                <w:sz w:val="18"/>
              </w:rPr>
              <w:t>Comprehensive metabolic panel</w:t>
            </w:r>
          </w:p>
        </w:tc>
        <w:tc>
          <w:tcPr>
            <w:tcW w:w="5107" w:type="dxa"/>
            <w:tcBorders>
              <w:left w:val="nil"/>
              <w:right w:val="nil"/>
            </w:tcBorders>
          </w:tcPr>
          <w:p>
            <w:pPr>
              <w:pStyle w:val="TableParagraph"/>
              <w:spacing w:before="1"/>
              <w:ind w:left="121"/>
              <w:rPr>
                <w:sz w:val="18"/>
              </w:rPr>
            </w:pPr>
            <w:r>
              <w:rPr>
                <w:sz w:val="18"/>
              </w:rPr>
              <w:t>BMP plus magnesium, protein, albumin, globulin, alb/glob ratio, bilirubin (direct or total), alkaline phosphatase, ALT/AST, eGFR</w:t>
            </w:r>
          </w:p>
        </w:tc>
        <w:tc>
          <w:tcPr>
            <w:tcW w:w="3536" w:type="dxa"/>
            <w:tcBorders>
              <w:left w:val="nil"/>
              <w:right w:val="nil"/>
            </w:tcBorders>
          </w:tcPr>
          <w:p>
            <w:pPr>
              <w:pStyle w:val="TableParagraph"/>
              <w:spacing w:line="219" w:lineRule="exact" w:before="1"/>
              <w:ind w:left="120"/>
              <w:rPr>
                <w:sz w:val="18"/>
              </w:rPr>
            </w:pPr>
            <w:r>
              <w:rPr>
                <w:sz w:val="18"/>
              </w:rPr>
              <w:t>As with BMP</w:t>
            </w:r>
          </w:p>
          <w:p>
            <w:pPr>
              <w:pStyle w:val="TableParagraph"/>
              <w:spacing w:line="219" w:lineRule="exact"/>
              <w:ind w:left="120"/>
              <w:rPr>
                <w:sz w:val="18"/>
              </w:rPr>
            </w:pPr>
            <w:r>
              <w:rPr>
                <w:sz w:val="18"/>
              </w:rPr>
              <w:t>(14 or more parameter automated clinical</w:t>
            </w:r>
          </w:p>
          <w:p>
            <w:pPr>
              <w:pStyle w:val="TableParagraph"/>
              <w:spacing w:line="199" w:lineRule="exact" w:before="1"/>
              <w:ind w:left="120"/>
              <w:rPr>
                <w:sz w:val="18"/>
              </w:rPr>
            </w:pPr>
            <w:r>
              <w:rPr>
                <w:sz w:val="18"/>
              </w:rPr>
              <w:t>chemistry analyser)</w:t>
            </w:r>
          </w:p>
        </w:tc>
        <w:tc>
          <w:tcPr>
            <w:tcW w:w="2274" w:type="dxa"/>
            <w:tcBorders>
              <w:left w:val="nil"/>
              <w:right w:val="single" w:sz="12" w:space="0" w:color="000000"/>
            </w:tcBorders>
          </w:tcPr>
          <w:p>
            <w:pPr>
              <w:pStyle w:val="TableParagraph"/>
              <w:spacing w:before="1"/>
              <w:ind w:left="127" w:right="615"/>
              <w:rPr>
                <w:sz w:val="18"/>
              </w:rPr>
            </w:pPr>
            <w:r>
              <w:rPr>
                <w:sz w:val="18"/>
              </w:rPr>
              <w:t>Venous whole blood Serum</w:t>
            </w:r>
          </w:p>
          <w:p>
            <w:pPr>
              <w:pStyle w:val="TableParagraph"/>
              <w:spacing w:line="199" w:lineRule="exact"/>
              <w:ind w:left="127"/>
              <w:rPr>
                <w:sz w:val="18"/>
              </w:rPr>
            </w:pPr>
            <w:r>
              <w:rPr>
                <w:sz w:val="18"/>
              </w:rPr>
              <w:t>Plasma</w:t>
            </w:r>
          </w:p>
        </w:tc>
      </w:tr>
      <w:tr>
        <w:trPr>
          <w:trHeight w:val="659" w:hRule="atLeast"/>
        </w:trPr>
        <w:tc>
          <w:tcPr>
            <w:tcW w:w="1409" w:type="dxa"/>
            <w:vMerge/>
            <w:tcBorders>
              <w:top w:val="nil"/>
              <w:left w:val="single" w:sz="12" w:space="0" w:color="000000"/>
              <w:right w:val="nil"/>
            </w:tcBorders>
          </w:tcPr>
          <w:p>
            <w:pPr>
              <w:rPr>
                <w:sz w:val="2"/>
                <w:szCs w:val="2"/>
              </w:rPr>
            </w:pPr>
          </w:p>
        </w:tc>
        <w:tc>
          <w:tcPr>
            <w:tcW w:w="1837" w:type="dxa"/>
            <w:tcBorders>
              <w:left w:val="nil"/>
              <w:right w:val="nil"/>
            </w:tcBorders>
          </w:tcPr>
          <w:p>
            <w:pPr>
              <w:pStyle w:val="TableParagraph"/>
              <w:spacing w:line="219" w:lineRule="exact"/>
              <w:ind w:left="117"/>
              <w:rPr>
                <w:sz w:val="18"/>
              </w:rPr>
            </w:pPr>
            <w:r>
              <w:rPr>
                <w:sz w:val="18"/>
              </w:rPr>
              <w:t>Amylase and lipase</w:t>
            </w:r>
          </w:p>
        </w:tc>
        <w:tc>
          <w:tcPr>
            <w:tcW w:w="5107" w:type="dxa"/>
            <w:tcBorders>
              <w:left w:val="nil"/>
              <w:right w:val="nil"/>
            </w:tcBorders>
          </w:tcPr>
          <w:p>
            <w:pPr>
              <w:pStyle w:val="TableParagraph"/>
              <w:spacing w:line="219" w:lineRule="exact"/>
              <w:ind w:left="121"/>
              <w:rPr>
                <w:sz w:val="18"/>
              </w:rPr>
            </w:pPr>
            <w:r>
              <w:rPr>
                <w:sz w:val="18"/>
              </w:rPr>
              <w:t>To assess acute pancreatitis</w:t>
            </w:r>
          </w:p>
        </w:tc>
        <w:tc>
          <w:tcPr>
            <w:tcW w:w="3536" w:type="dxa"/>
            <w:tcBorders>
              <w:left w:val="nil"/>
              <w:right w:val="nil"/>
            </w:tcBorders>
          </w:tcPr>
          <w:p>
            <w:pPr>
              <w:pStyle w:val="TableParagraph"/>
              <w:spacing w:line="219" w:lineRule="exact"/>
              <w:ind w:left="120"/>
              <w:rPr>
                <w:sz w:val="18"/>
              </w:rPr>
            </w:pPr>
            <w:r>
              <w:rPr>
                <w:sz w:val="18"/>
              </w:rPr>
              <w:t>Colourimetric and photometric analysers</w:t>
            </w:r>
          </w:p>
        </w:tc>
        <w:tc>
          <w:tcPr>
            <w:tcW w:w="2274" w:type="dxa"/>
            <w:tcBorders>
              <w:left w:val="nil"/>
              <w:right w:val="single" w:sz="12" w:space="0" w:color="000000"/>
            </w:tcBorders>
          </w:tcPr>
          <w:p>
            <w:pPr>
              <w:pStyle w:val="TableParagraph"/>
              <w:ind w:left="127" w:right="1591"/>
              <w:rPr>
                <w:sz w:val="18"/>
              </w:rPr>
            </w:pPr>
            <w:r>
              <w:rPr>
                <w:sz w:val="18"/>
              </w:rPr>
              <w:t>Serum Urine</w:t>
            </w:r>
          </w:p>
          <w:p>
            <w:pPr>
              <w:pStyle w:val="TableParagraph"/>
              <w:spacing w:line="199" w:lineRule="exact" w:before="1"/>
              <w:ind w:left="127"/>
              <w:rPr>
                <w:sz w:val="18"/>
              </w:rPr>
            </w:pPr>
            <w:r>
              <w:rPr>
                <w:sz w:val="18"/>
              </w:rPr>
              <w:t>Peritoneal fluid (Amylase)</w:t>
            </w:r>
          </w:p>
        </w:tc>
      </w:tr>
      <w:tr>
        <w:trPr>
          <w:trHeight w:val="438" w:hRule="atLeast"/>
        </w:trPr>
        <w:tc>
          <w:tcPr>
            <w:tcW w:w="1409" w:type="dxa"/>
            <w:vMerge/>
            <w:tcBorders>
              <w:top w:val="nil"/>
              <w:left w:val="single" w:sz="12" w:space="0" w:color="000000"/>
              <w:right w:val="nil"/>
            </w:tcBorders>
          </w:tcPr>
          <w:p>
            <w:pPr>
              <w:rPr>
                <w:sz w:val="2"/>
                <w:szCs w:val="2"/>
              </w:rPr>
            </w:pPr>
          </w:p>
        </w:tc>
        <w:tc>
          <w:tcPr>
            <w:tcW w:w="1837" w:type="dxa"/>
            <w:tcBorders>
              <w:left w:val="nil"/>
              <w:right w:val="nil"/>
            </w:tcBorders>
          </w:tcPr>
          <w:p>
            <w:pPr>
              <w:pStyle w:val="TableParagraph"/>
              <w:spacing w:line="219" w:lineRule="exact"/>
              <w:ind w:left="117"/>
              <w:rPr>
                <w:sz w:val="18"/>
              </w:rPr>
            </w:pPr>
            <w:r>
              <w:rPr>
                <w:sz w:val="18"/>
              </w:rPr>
              <w:t>Troponin T/I</w:t>
            </w:r>
          </w:p>
        </w:tc>
        <w:tc>
          <w:tcPr>
            <w:tcW w:w="5107" w:type="dxa"/>
            <w:tcBorders>
              <w:left w:val="nil"/>
              <w:right w:val="nil"/>
            </w:tcBorders>
          </w:tcPr>
          <w:p>
            <w:pPr>
              <w:pStyle w:val="TableParagraph"/>
              <w:spacing w:line="219" w:lineRule="exact"/>
              <w:ind w:left="121"/>
              <w:rPr>
                <w:sz w:val="18"/>
              </w:rPr>
            </w:pPr>
            <w:r>
              <w:rPr>
                <w:sz w:val="18"/>
              </w:rPr>
              <w:t>For the diagnosis of myocardial infarction</w:t>
            </w:r>
          </w:p>
        </w:tc>
        <w:tc>
          <w:tcPr>
            <w:tcW w:w="3536" w:type="dxa"/>
            <w:tcBorders>
              <w:left w:val="nil"/>
              <w:right w:val="nil"/>
            </w:tcBorders>
          </w:tcPr>
          <w:p>
            <w:pPr>
              <w:pStyle w:val="TableParagraph"/>
              <w:spacing w:line="219" w:lineRule="exact"/>
              <w:ind w:left="120"/>
              <w:rPr>
                <w:sz w:val="18"/>
              </w:rPr>
            </w:pPr>
            <w:r>
              <w:rPr>
                <w:sz w:val="18"/>
              </w:rPr>
              <w:t>Enzyme immunoassay (handheld or large</w:t>
            </w:r>
          </w:p>
          <w:p>
            <w:pPr>
              <w:pStyle w:val="TableParagraph"/>
              <w:spacing w:line="199" w:lineRule="exact" w:before="1"/>
              <w:ind w:left="120"/>
              <w:rPr>
                <w:sz w:val="18"/>
              </w:rPr>
            </w:pPr>
            <w:r>
              <w:rPr>
                <w:sz w:val="18"/>
              </w:rPr>
              <w:t>automated instrument)</w:t>
            </w:r>
          </w:p>
        </w:tc>
        <w:tc>
          <w:tcPr>
            <w:tcW w:w="2274" w:type="dxa"/>
            <w:tcBorders>
              <w:left w:val="nil"/>
              <w:right w:val="single" w:sz="12" w:space="0" w:color="000000"/>
            </w:tcBorders>
          </w:tcPr>
          <w:p>
            <w:pPr>
              <w:pStyle w:val="TableParagraph"/>
              <w:spacing w:line="219" w:lineRule="exact"/>
              <w:ind w:left="127"/>
              <w:rPr>
                <w:sz w:val="18"/>
              </w:rPr>
            </w:pPr>
            <w:r>
              <w:rPr>
                <w:sz w:val="18"/>
              </w:rPr>
              <w:t>Venous whole blood</w:t>
            </w:r>
          </w:p>
          <w:p>
            <w:pPr>
              <w:pStyle w:val="TableParagraph"/>
              <w:spacing w:line="199" w:lineRule="exact" w:before="1"/>
              <w:ind w:left="127"/>
              <w:rPr>
                <w:sz w:val="18"/>
              </w:rPr>
            </w:pPr>
            <w:r>
              <w:rPr>
                <w:sz w:val="18"/>
              </w:rPr>
              <w:t>Plasma</w:t>
            </w:r>
          </w:p>
        </w:tc>
      </w:tr>
      <w:tr>
        <w:trPr>
          <w:trHeight w:val="501" w:hRule="atLeast"/>
        </w:trPr>
        <w:tc>
          <w:tcPr>
            <w:tcW w:w="1409" w:type="dxa"/>
            <w:vMerge/>
            <w:tcBorders>
              <w:top w:val="nil"/>
              <w:left w:val="single" w:sz="12" w:space="0" w:color="000000"/>
              <w:right w:val="nil"/>
            </w:tcBorders>
          </w:tcPr>
          <w:p>
            <w:pPr>
              <w:rPr>
                <w:sz w:val="2"/>
                <w:szCs w:val="2"/>
              </w:rPr>
            </w:pPr>
          </w:p>
        </w:tc>
        <w:tc>
          <w:tcPr>
            <w:tcW w:w="1837" w:type="dxa"/>
            <w:tcBorders>
              <w:left w:val="nil"/>
              <w:right w:val="nil"/>
            </w:tcBorders>
          </w:tcPr>
          <w:p>
            <w:pPr>
              <w:pStyle w:val="TableParagraph"/>
              <w:spacing w:before="1"/>
              <w:ind w:left="117"/>
              <w:rPr>
                <w:sz w:val="18"/>
              </w:rPr>
            </w:pPr>
            <w:r>
              <w:rPr>
                <w:sz w:val="18"/>
              </w:rPr>
              <w:t>Urinalysis</w:t>
            </w:r>
          </w:p>
        </w:tc>
        <w:tc>
          <w:tcPr>
            <w:tcW w:w="5107" w:type="dxa"/>
            <w:tcBorders>
              <w:left w:val="nil"/>
              <w:right w:val="nil"/>
            </w:tcBorders>
          </w:tcPr>
          <w:p>
            <w:pPr>
              <w:pStyle w:val="TableParagraph"/>
              <w:spacing w:before="1"/>
              <w:ind w:left="121"/>
              <w:rPr>
                <w:sz w:val="18"/>
              </w:rPr>
            </w:pPr>
            <w:r>
              <w:rPr>
                <w:sz w:val="18"/>
              </w:rPr>
              <w:t>Detection of substances or cellular material in the urine associated with metabolic disorders, renal dysfunction or UTIs</w:t>
            </w:r>
          </w:p>
        </w:tc>
        <w:tc>
          <w:tcPr>
            <w:tcW w:w="3536" w:type="dxa"/>
            <w:tcBorders>
              <w:left w:val="nil"/>
              <w:right w:val="nil"/>
            </w:tcBorders>
          </w:tcPr>
          <w:p>
            <w:pPr>
              <w:pStyle w:val="TableParagraph"/>
              <w:spacing w:before="1"/>
              <w:ind w:left="120"/>
              <w:rPr>
                <w:sz w:val="18"/>
              </w:rPr>
            </w:pPr>
            <w:r>
              <w:rPr>
                <w:sz w:val="18"/>
              </w:rPr>
              <w:t>Automated chemical analyser</w:t>
            </w:r>
          </w:p>
        </w:tc>
        <w:tc>
          <w:tcPr>
            <w:tcW w:w="2274" w:type="dxa"/>
            <w:tcBorders>
              <w:left w:val="nil"/>
              <w:right w:val="single" w:sz="12" w:space="0" w:color="000000"/>
            </w:tcBorders>
          </w:tcPr>
          <w:p>
            <w:pPr>
              <w:pStyle w:val="TableParagraph"/>
              <w:spacing w:before="1"/>
              <w:ind w:left="127"/>
              <w:rPr>
                <w:sz w:val="18"/>
              </w:rPr>
            </w:pPr>
            <w:r>
              <w:rPr>
                <w:sz w:val="18"/>
              </w:rPr>
              <w:t>Urine</w:t>
            </w:r>
          </w:p>
        </w:tc>
      </w:tr>
      <w:tr>
        <w:trPr>
          <w:trHeight w:val="498" w:hRule="atLeast"/>
        </w:trPr>
        <w:tc>
          <w:tcPr>
            <w:tcW w:w="1409" w:type="dxa"/>
            <w:vMerge w:val="restart"/>
            <w:tcBorders>
              <w:left w:val="single" w:sz="12" w:space="0" w:color="000000"/>
              <w:right w:val="nil"/>
            </w:tcBorders>
          </w:tcPr>
          <w:p>
            <w:pPr>
              <w:pStyle w:val="TableParagraph"/>
              <w:ind w:left="107" w:right="442"/>
              <w:rPr>
                <w:sz w:val="18"/>
              </w:rPr>
            </w:pPr>
            <w:r>
              <w:rPr>
                <w:sz w:val="18"/>
              </w:rPr>
              <w:t>Blood transfusion</w:t>
            </w:r>
          </w:p>
        </w:tc>
        <w:tc>
          <w:tcPr>
            <w:tcW w:w="1837" w:type="dxa"/>
            <w:tcBorders>
              <w:left w:val="nil"/>
              <w:right w:val="nil"/>
            </w:tcBorders>
          </w:tcPr>
          <w:p>
            <w:pPr>
              <w:pStyle w:val="TableParagraph"/>
              <w:spacing w:line="219" w:lineRule="exact"/>
              <w:ind w:left="117"/>
              <w:rPr>
                <w:sz w:val="18"/>
              </w:rPr>
            </w:pPr>
            <w:r>
              <w:rPr>
                <w:sz w:val="18"/>
              </w:rPr>
              <w:t>Blood cross-matching</w:t>
            </w:r>
          </w:p>
        </w:tc>
        <w:tc>
          <w:tcPr>
            <w:tcW w:w="5107" w:type="dxa"/>
            <w:tcBorders>
              <w:left w:val="nil"/>
              <w:right w:val="nil"/>
            </w:tcBorders>
          </w:tcPr>
          <w:p>
            <w:pPr>
              <w:pStyle w:val="TableParagraph"/>
              <w:ind w:left="121" w:right="88"/>
              <w:rPr>
                <w:sz w:val="18"/>
              </w:rPr>
            </w:pPr>
            <w:r>
              <w:rPr>
                <w:sz w:val="18"/>
              </w:rPr>
              <w:t>To determine blood compatibility for blood transfusions; Rh typing for pregnant women</w:t>
            </w:r>
          </w:p>
        </w:tc>
        <w:tc>
          <w:tcPr>
            <w:tcW w:w="3536" w:type="dxa"/>
            <w:tcBorders>
              <w:left w:val="nil"/>
              <w:right w:val="nil"/>
            </w:tcBorders>
          </w:tcPr>
          <w:p>
            <w:pPr>
              <w:pStyle w:val="TableParagraph"/>
              <w:spacing w:line="219" w:lineRule="exact"/>
              <w:ind w:left="120"/>
              <w:rPr>
                <w:sz w:val="18"/>
              </w:rPr>
            </w:pPr>
            <w:r>
              <w:rPr>
                <w:sz w:val="18"/>
              </w:rPr>
              <w:t>Antisera for agglutination</w:t>
            </w:r>
          </w:p>
        </w:tc>
        <w:tc>
          <w:tcPr>
            <w:tcW w:w="2274" w:type="dxa"/>
            <w:tcBorders>
              <w:left w:val="nil"/>
              <w:right w:val="single" w:sz="12" w:space="0" w:color="000000"/>
            </w:tcBorders>
          </w:tcPr>
          <w:p>
            <w:pPr>
              <w:pStyle w:val="TableParagraph"/>
              <w:spacing w:line="219" w:lineRule="exact"/>
              <w:ind w:left="127"/>
              <w:rPr>
                <w:sz w:val="18"/>
              </w:rPr>
            </w:pPr>
            <w:r>
              <w:rPr>
                <w:sz w:val="18"/>
              </w:rPr>
              <w:t>Venous whole blood</w:t>
            </w:r>
          </w:p>
        </w:tc>
      </w:tr>
      <w:tr>
        <w:trPr>
          <w:trHeight w:val="501" w:hRule="atLeast"/>
        </w:trPr>
        <w:tc>
          <w:tcPr>
            <w:tcW w:w="1409" w:type="dxa"/>
            <w:vMerge/>
            <w:tcBorders>
              <w:top w:val="nil"/>
              <w:left w:val="single" w:sz="12" w:space="0" w:color="000000"/>
              <w:right w:val="nil"/>
            </w:tcBorders>
          </w:tcPr>
          <w:p>
            <w:pPr>
              <w:rPr>
                <w:sz w:val="2"/>
                <w:szCs w:val="2"/>
              </w:rPr>
            </w:pPr>
          </w:p>
        </w:tc>
        <w:tc>
          <w:tcPr>
            <w:tcW w:w="1837" w:type="dxa"/>
            <w:tcBorders>
              <w:left w:val="nil"/>
              <w:bottom w:val="nil"/>
              <w:right w:val="nil"/>
            </w:tcBorders>
          </w:tcPr>
          <w:p>
            <w:pPr>
              <w:pStyle w:val="TableParagraph"/>
              <w:spacing w:before="1"/>
              <w:ind w:left="117" w:right="77"/>
              <w:rPr>
                <w:sz w:val="18"/>
              </w:rPr>
            </w:pPr>
            <w:r>
              <w:rPr>
                <w:sz w:val="18"/>
              </w:rPr>
              <w:t>Transfusion transmitted infections</w:t>
            </w:r>
          </w:p>
        </w:tc>
        <w:tc>
          <w:tcPr>
            <w:tcW w:w="5107" w:type="dxa"/>
            <w:tcBorders>
              <w:left w:val="nil"/>
              <w:bottom w:val="nil"/>
              <w:right w:val="nil"/>
            </w:tcBorders>
          </w:tcPr>
          <w:p>
            <w:pPr>
              <w:pStyle w:val="TableParagraph"/>
              <w:spacing w:before="1"/>
              <w:ind w:left="121"/>
              <w:rPr>
                <w:sz w:val="18"/>
              </w:rPr>
            </w:pPr>
            <w:r>
              <w:rPr>
                <w:sz w:val="18"/>
              </w:rPr>
              <w:t>To screen for Chagas, HTLV in the blood supply etc. (see also EDL sections on HIV, hepatitis C, hepatitis B, syphilis)</w:t>
            </w:r>
          </w:p>
        </w:tc>
        <w:tc>
          <w:tcPr>
            <w:tcW w:w="3536" w:type="dxa"/>
            <w:tcBorders>
              <w:left w:val="nil"/>
              <w:right w:val="nil"/>
            </w:tcBorders>
          </w:tcPr>
          <w:p>
            <w:pPr>
              <w:pStyle w:val="TableParagraph"/>
              <w:spacing w:before="1"/>
              <w:ind w:left="120" w:right="2217"/>
              <w:rPr>
                <w:sz w:val="18"/>
              </w:rPr>
            </w:pPr>
            <w:r>
              <w:rPr>
                <w:sz w:val="18"/>
              </w:rPr>
              <w:t>EIA (microplate) Manual method</w:t>
            </w:r>
          </w:p>
        </w:tc>
        <w:tc>
          <w:tcPr>
            <w:tcW w:w="2274" w:type="dxa"/>
            <w:tcBorders>
              <w:left w:val="nil"/>
              <w:right w:val="single" w:sz="12" w:space="0" w:color="000000"/>
            </w:tcBorders>
          </w:tcPr>
          <w:p>
            <w:pPr>
              <w:pStyle w:val="TableParagraph"/>
              <w:spacing w:before="1"/>
              <w:ind w:left="127" w:right="1591"/>
              <w:rPr>
                <w:sz w:val="18"/>
              </w:rPr>
            </w:pPr>
            <w:r>
              <w:rPr>
                <w:sz w:val="18"/>
              </w:rPr>
              <w:t>Serum Plasma</w:t>
            </w:r>
          </w:p>
        </w:tc>
      </w:tr>
      <w:tr>
        <w:trPr>
          <w:trHeight w:val="498" w:hRule="atLeast"/>
        </w:trPr>
        <w:tc>
          <w:tcPr>
            <w:tcW w:w="1409" w:type="dxa"/>
            <w:vMerge/>
            <w:tcBorders>
              <w:top w:val="nil"/>
              <w:left w:val="single" w:sz="12" w:space="0" w:color="000000"/>
              <w:right w:val="nil"/>
            </w:tcBorders>
          </w:tcPr>
          <w:p>
            <w:pPr>
              <w:rPr>
                <w:sz w:val="2"/>
                <w:szCs w:val="2"/>
              </w:rPr>
            </w:pPr>
          </w:p>
        </w:tc>
        <w:tc>
          <w:tcPr>
            <w:tcW w:w="1837" w:type="dxa"/>
            <w:tcBorders>
              <w:top w:val="nil"/>
              <w:left w:val="nil"/>
              <w:right w:val="nil"/>
            </w:tcBorders>
          </w:tcPr>
          <w:p>
            <w:pPr>
              <w:pStyle w:val="TableParagraph"/>
              <w:rPr>
                <w:rFonts w:ascii="Times New Roman"/>
                <w:sz w:val="18"/>
              </w:rPr>
            </w:pPr>
          </w:p>
        </w:tc>
        <w:tc>
          <w:tcPr>
            <w:tcW w:w="5107" w:type="dxa"/>
            <w:tcBorders>
              <w:top w:val="nil"/>
              <w:left w:val="nil"/>
              <w:right w:val="nil"/>
            </w:tcBorders>
          </w:tcPr>
          <w:p>
            <w:pPr>
              <w:pStyle w:val="TableParagraph"/>
              <w:rPr>
                <w:rFonts w:ascii="Times New Roman"/>
                <w:sz w:val="18"/>
              </w:rPr>
            </w:pPr>
          </w:p>
        </w:tc>
        <w:tc>
          <w:tcPr>
            <w:tcW w:w="3536" w:type="dxa"/>
            <w:tcBorders>
              <w:left w:val="nil"/>
              <w:right w:val="nil"/>
            </w:tcBorders>
          </w:tcPr>
          <w:p>
            <w:pPr>
              <w:pStyle w:val="TableParagraph"/>
              <w:spacing w:line="219" w:lineRule="exact"/>
              <w:ind w:left="120"/>
              <w:rPr>
                <w:sz w:val="18"/>
              </w:rPr>
            </w:pPr>
            <w:r>
              <w:rPr>
                <w:sz w:val="18"/>
              </w:rPr>
              <w:t>CLIA/ECL (automated instrument)</w:t>
            </w:r>
          </w:p>
        </w:tc>
        <w:tc>
          <w:tcPr>
            <w:tcW w:w="2274" w:type="dxa"/>
            <w:tcBorders>
              <w:left w:val="nil"/>
              <w:right w:val="single" w:sz="12" w:space="0" w:color="000000"/>
            </w:tcBorders>
          </w:tcPr>
          <w:p>
            <w:pPr>
              <w:pStyle w:val="TableParagraph"/>
              <w:ind w:left="127" w:right="1591"/>
              <w:rPr>
                <w:sz w:val="18"/>
              </w:rPr>
            </w:pPr>
            <w:r>
              <w:rPr>
                <w:sz w:val="18"/>
              </w:rPr>
              <w:t>Serum Plasma</w:t>
            </w:r>
          </w:p>
        </w:tc>
      </w:tr>
      <w:tr>
        <w:trPr>
          <w:trHeight w:val="501" w:hRule="atLeast"/>
        </w:trPr>
        <w:tc>
          <w:tcPr>
            <w:tcW w:w="1409" w:type="dxa"/>
            <w:tcBorders>
              <w:left w:val="single" w:sz="12" w:space="0" w:color="000000"/>
              <w:bottom w:val="single" w:sz="12" w:space="0" w:color="000000"/>
              <w:right w:val="nil"/>
            </w:tcBorders>
          </w:tcPr>
          <w:p>
            <w:pPr>
              <w:pStyle w:val="TableParagraph"/>
              <w:spacing w:before="1"/>
              <w:ind w:left="107"/>
              <w:rPr>
                <w:sz w:val="18"/>
              </w:rPr>
            </w:pPr>
            <w:r>
              <w:rPr>
                <w:sz w:val="18"/>
              </w:rPr>
              <w:t>Serology</w:t>
            </w:r>
          </w:p>
        </w:tc>
        <w:tc>
          <w:tcPr>
            <w:tcW w:w="1837" w:type="dxa"/>
            <w:tcBorders>
              <w:left w:val="nil"/>
              <w:bottom w:val="single" w:sz="12" w:space="0" w:color="000000"/>
              <w:right w:val="nil"/>
            </w:tcBorders>
          </w:tcPr>
          <w:p>
            <w:pPr>
              <w:pStyle w:val="TableParagraph"/>
              <w:spacing w:before="1"/>
              <w:ind w:left="117"/>
              <w:rPr>
                <w:sz w:val="18"/>
              </w:rPr>
            </w:pPr>
            <w:r>
              <w:rPr>
                <w:sz w:val="18"/>
              </w:rPr>
              <w:t>Human chorionic gonadotropin (hCG)</w:t>
            </w:r>
          </w:p>
        </w:tc>
        <w:tc>
          <w:tcPr>
            <w:tcW w:w="5107" w:type="dxa"/>
            <w:tcBorders>
              <w:left w:val="nil"/>
              <w:bottom w:val="single" w:sz="12" w:space="0" w:color="000000"/>
              <w:right w:val="nil"/>
            </w:tcBorders>
          </w:tcPr>
          <w:p>
            <w:pPr>
              <w:pStyle w:val="TableParagraph"/>
              <w:spacing w:before="1"/>
              <w:ind w:left="121"/>
              <w:rPr>
                <w:sz w:val="18"/>
              </w:rPr>
            </w:pPr>
            <w:r>
              <w:rPr>
                <w:sz w:val="18"/>
              </w:rPr>
              <w:t>Pregnancy</w:t>
            </w:r>
          </w:p>
        </w:tc>
        <w:tc>
          <w:tcPr>
            <w:tcW w:w="3536" w:type="dxa"/>
            <w:tcBorders>
              <w:left w:val="nil"/>
              <w:bottom w:val="single" w:sz="12" w:space="0" w:color="000000"/>
              <w:right w:val="nil"/>
            </w:tcBorders>
          </w:tcPr>
          <w:p>
            <w:pPr>
              <w:pStyle w:val="TableParagraph"/>
              <w:spacing w:before="1"/>
              <w:ind w:left="120"/>
              <w:rPr>
                <w:sz w:val="18"/>
              </w:rPr>
            </w:pPr>
            <w:r>
              <w:rPr>
                <w:sz w:val="18"/>
              </w:rPr>
              <w:t>Optical method</w:t>
            </w:r>
          </w:p>
        </w:tc>
        <w:tc>
          <w:tcPr>
            <w:tcW w:w="2274" w:type="dxa"/>
            <w:tcBorders>
              <w:left w:val="nil"/>
              <w:bottom w:val="single" w:sz="12" w:space="0" w:color="000000"/>
              <w:right w:val="single" w:sz="12" w:space="0" w:color="000000"/>
            </w:tcBorders>
          </w:tcPr>
          <w:p>
            <w:pPr>
              <w:pStyle w:val="TableParagraph"/>
              <w:spacing w:before="1"/>
              <w:ind w:left="127"/>
              <w:rPr>
                <w:sz w:val="18"/>
              </w:rPr>
            </w:pPr>
            <w:r>
              <w:rPr>
                <w:sz w:val="18"/>
              </w:rPr>
              <w:t>Serum</w:t>
            </w:r>
          </w:p>
        </w:tc>
      </w:tr>
    </w:tbl>
    <w:p>
      <w:pPr>
        <w:spacing w:after="0"/>
        <w:rPr>
          <w:sz w:val="18"/>
        </w:rPr>
        <w:sectPr>
          <w:headerReference w:type="default" r:id="rId156"/>
          <w:footerReference w:type="default" r:id="rId157"/>
          <w:pgSz w:w="16840" w:h="11910" w:orient="landscape"/>
          <w:pgMar w:header="0" w:footer="495" w:top="1100" w:bottom="680" w:left="1180" w:right="920"/>
          <w:pgNumType w:start="17"/>
        </w:sectPr>
      </w:pPr>
    </w:p>
    <w:p>
      <w:pPr>
        <w:pStyle w:val="BodyText"/>
        <w:rPr>
          <w:rFonts w:ascii="Times New Roman"/>
          <w:sz w:val="29"/>
        </w:rPr>
      </w:pPr>
      <w:r>
        <w:rPr/>
        <w:pict>
          <v:group style="position:absolute;margin-left:136.580002pt;margin-top:99.62001pt;width:.5pt;height:67.25pt;mso-position-horizontal-relative:page;mso-position-vertical-relative:page;z-index:-123568" coordorigin="2732,1992" coordsize="10,1345">
            <v:shape style="position:absolute;left:2731;top:1992;width:10;height:447" type="#_x0000_t75" stroked="false">
              <v:imagedata r:id="rId143" o:title=""/>
            </v:shape>
            <v:shape style="position:absolute;left:2731;top:2438;width:10;height:10" type="#_x0000_t75" stroked="false">
              <v:imagedata r:id="rId168" o:title=""/>
            </v:shape>
            <v:shape style="position:absolute;left:2731;top:2448;width:10;height:889" type="#_x0000_t75" stroked="false">
              <v:imagedata r:id="rId179" o:title=""/>
            </v:shape>
            <w10:wrap type="none"/>
          </v:group>
        </w:pict>
      </w:r>
      <w:r>
        <w:rPr/>
        <w:pict>
          <v:group style="position:absolute;margin-left:228.740005pt;margin-top:99.62001pt;width:.5pt;height:67.25pt;mso-position-horizontal-relative:page;mso-position-vertical-relative:page;z-index:-123544" coordorigin="4575,1992" coordsize="10,1345">
            <v:shape style="position:absolute;left:4574;top:1992;width:10;height:447" type="#_x0000_t75" stroked="false">
              <v:imagedata r:id="rId143" o:title=""/>
            </v:shape>
            <v:shape style="position:absolute;left:4574;top:2438;width:10;height:10" type="#_x0000_t75" stroked="false">
              <v:imagedata r:id="rId168" o:title=""/>
            </v:shape>
            <v:shape style="position:absolute;left:4574;top:2448;width:10;height:879" type="#_x0000_t75" stroked="false">
              <v:imagedata r:id="rId180" o:title=""/>
            </v:shape>
            <v:shape style="position:absolute;left:4574;top:3327;width:10;height:10" type="#_x0000_t75" stroked="false">
              <v:imagedata r:id="rId168" o:title=""/>
            </v:shape>
            <w10:wrap type="none"/>
          </v:group>
        </w:pict>
      </w:r>
      <w:r>
        <w:rPr/>
        <w:pict>
          <v:group style="position:absolute;margin-left:483.910004pt;margin-top:99.62001pt;width:291.55pt;height:345.1pt;mso-position-horizontal-relative:page;mso-position-vertical-relative:page;z-index:-123520" coordorigin="9678,1992" coordsize="5831,6902">
            <v:shape style="position:absolute;left:9678;top:1992;width:10;height:456" type="#_x0000_t75" stroked="false">
              <v:imagedata r:id="rId181" o:title=""/>
            </v:shape>
            <v:shape style="position:absolute;left:9678;top:2448;width:10;height:889" type="#_x0000_t75" stroked="false">
              <v:imagedata r:id="rId182" o:title=""/>
            </v:shape>
            <v:shape style="position:absolute;left:9678;top:3337;width:10;height:888" type="#_x0000_t75" stroked="false">
              <v:imagedata r:id="rId183" o:title=""/>
            </v:shape>
            <v:shape style="position:absolute;left:9678;top:4225;width:10;height:891" type="#_x0000_t75" stroked="false">
              <v:imagedata r:id="rId184" o:title=""/>
            </v:shape>
            <v:shape style="position:absolute;left:9678;top:5115;width:10;height:670" type="#_x0000_t75" stroked="false">
              <v:imagedata r:id="rId133" o:title=""/>
            </v:shape>
            <v:shape style="position:absolute;left:9678;top:5785;width:10;height:449" type="#_x0000_t75" stroked="false">
              <v:imagedata r:id="rId153" o:title=""/>
            </v:shape>
            <v:shape style="position:absolute;left:9678;top:6234;width:10;height:888" type="#_x0000_t75" stroked="false">
              <v:imagedata r:id="rId185" o:title=""/>
            </v:shape>
            <v:shape style="position:absolute;left:9678;top:1992;width:5802;height:5361" type="#_x0000_t75" stroked="false">
              <v:imagedata r:id="rId186" o:title=""/>
            </v:shape>
            <v:shape style="position:absolute;left:9678;top:7352;width:5831;height:231" type="#_x0000_t75" stroked="false">
              <v:imagedata r:id="rId187" o:title=""/>
            </v:shape>
            <v:shape style="position:absolute;left:13221;top:7583;width:10;height:1311" type="#_x0000_t75" stroked="false">
              <v:imagedata r:id="rId188" o:title=""/>
            </v:shape>
            <w10:wrap type="none"/>
          </v:group>
        </w:pict>
      </w:r>
      <w:r>
        <w:rPr/>
        <w:pict>
          <v:group style="position:absolute;margin-left:136.580002pt;margin-top:166.850006pt;width:.5pt;height:88.95pt;mso-position-horizontal-relative:page;mso-position-vertical-relative:page;z-index:-123496" coordorigin="2732,3337" coordsize="10,1779">
            <v:shape style="position:absolute;left:2731;top:3337;width:10;height:888" type="#_x0000_t75" stroked="false">
              <v:imagedata r:id="rId189" o:title=""/>
            </v:shape>
            <v:shape style="position:absolute;left:2731;top:4225;width:10;height:891" type="#_x0000_t75" stroked="false">
              <v:imagedata r:id="rId190" o:title=""/>
            </v:shape>
            <w10:wrap type="none"/>
          </v:group>
        </w:pict>
      </w:r>
      <w:r>
        <w:rPr/>
        <w:pict>
          <v:group style="position:absolute;margin-left:228.740005pt;margin-top:210.770035pt;width:.5pt;height:45pt;mso-position-horizontal-relative:page;mso-position-vertical-relative:page;z-index:-123472" coordorigin="4575,4215" coordsize="10,900">
            <v:shape style="position:absolute;left:4574;top:4215;width:10;height:10" type="#_x0000_t75" stroked="false">
              <v:imagedata r:id="rId168" o:title=""/>
            </v:shape>
            <v:shape style="position:absolute;left:4574;top:4225;width:10;height:881" type="#_x0000_t75" stroked="false">
              <v:imagedata r:id="rId191" o:title=""/>
            </v:shape>
            <v:shape style="position:absolute;left:4574;top:5105;width:10;height:10" type="#_x0000_t75" stroked="false">
              <v:imagedata r:id="rId168" o:title=""/>
            </v:shape>
            <w10:wrap type="none"/>
          </v:group>
        </w:pict>
      </w:r>
      <w:r>
        <w:rPr/>
        <w:pict>
          <v:group style="position:absolute;margin-left:136.580002pt;margin-top:255.770004pt;width:.5pt;height:33.5pt;mso-position-horizontal-relative:page;mso-position-vertical-relative:page;z-index:-123448" coordorigin="2732,5115" coordsize="10,670">
            <v:shape style="position:absolute;left:2731;top:5115;width:10;height:661" type="#_x0000_t75" stroked="false">
              <v:imagedata r:id="rId192" o:title=""/>
            </v:shape>
            <v:shape style="position:absolute;left:2731;top:5775;width:10;height:10" type="#_x0000_t75" stroked="false">
              <v:imagedata r:id="rId168" o:title=""/>
            </v:shape>
            <w10:wrap type="none"/>
          </v:group>
        </w:pict>
      </w:r>
      <w:r>
        <w:rPr/>
        <w:pict>
          <v:group style="position:absolute;margin-left:228.740005pt;margin-top:255.770004pt;width:.5pt;height:33.5pt;mso-position-horizontal-relative:page;mso-position-vertical-relative:page;z-index:-123424" coordorigin="4575,5115" coordsize="10,670">
            <v:shape style="position:absolute;left:4574;top:5115;width:10;height:661" type="#_x0000_t75" stroked="false">
              <v:imagedata r:id="rId192" o:title=""/>
            </v:shape>
            <v:shape style="position:absolute;left:4574;top:5775;width:10;height:10" type="#_x0000_t75" stroked="false">
              <v:imagedata r:id="rId168" o:title=""/>
            </v:shape>
            <w10:wrap type="none"/>
          </v:group>
        </w:pict>
      </w:r>
      <w:r>
        <w:rPr/>
        <w:pict>
          <v:group style="position:absolute;margin-left:228.740005pt;margin-top:289.27002pt;width:.5pt;height:22.45pt;mso-position-horizontal-relative:page;mso-position-vertical-relative:page;z-index:-123400" coordorigin="4575,5785" coordsize="10,449">
            <v:shape style="position:absolute;left:4574;top:5785;width:10;height:440" type="#_x0000_t75" stroked="false">
              <v:imagedata r:id="rId193" o:title=""/>
            </v:shape>
            <v:shape style="position:absolute;left:4574;top:6224;width:10;height:10" type="#_x0000_t75" stroked="false">
              <v:imagedata r:id="rId168" o:title=""/>
            </v:shape>
            <w10:wrap type="none"/>
          </v:group>
        </w:pict>
      </w:r>
      <w:r>
        <w:rPr/>
        <w:pict>
          <v:group style="position:absolute;margin-left:228.740005pt;margin-top:311.710022pt;width:.5pt;height:133pt;mso-position-horizontal-relative:page;mso-position-vertical-relative:page;z-index:-123376" coordorigin="4575,6234" coordsize="10,2660">
            <v:shape style="position:absolute;left:4574;top:6234;width:10;height:879" type="#_x0000_t75" stroked="false">
              <v:imagedata r:id="rId194" o:title=""/>
            </v:shape>
            <v:shape style="position:absolute;left:4574;top:7112;width:10;height:10" type="#_x0000_t75" stroked="false">
              <v:imagedata r:id="rId168" o:title=""/>
            </v:shape>
            <v:shape style="position:absolute;left:4574;top:7122;width:10;height:882" type="#_x0000_t75" stroked="false">
              <v:imagedata r:id="rId195" o:title=""/>
            </v:shape>
            <v:shape style="position:absolute;left:4574;top:8003;width:10;height:10" type="#_x0000_t75" stroked="false">
              <v:imagedata r:id="rId168" o:title=""/>
            </v:shape>
            <v:shape style="position:absolute;left:4574;top:8013;width:10;height:881" type="#_x0000_t75" stroked="false">
              <v:imagedata r:id="rId196" o:title=""/>
            </v:shape>
            <w10:wrap type="none"/>
          </v:group>
        </w:pict>
      </w:r>
      <w:r>
        <w:rPr/>
        <w:pict>
          <v:group style="position:absolute;margin-left:136.580002pt;margin-top:311.710022pt;width:.5pt;height:133pt;mso-position-horizontal-relative:page;mso-position-vertical-relative:page;z-index:-123352" coordorigin="2732,6234" coordsize="10,2660">
            <v:shape style="position:absolute;left:2731;top:6234;width:10;height:888" type="#_x0000_t75" stroked="false">
              <v:imagedata r:id="rId62" o:title=""/>
            </v:shape>
            <v:shape style="position:absolute;left:2731;top:7122;width:10;height:891" type="#_x0000_t75" stroked="false">
              <v:imagedata r:id="rId197" o:title=""/>
            </v:shape>
            <v:shape style="position:absolute;left:2731;top:8013;width:10;height:881" type="#_x0000_t75" stroked="false">
              <v:imagedata r:id="rId196" o:title=""/>
            </v:shape>
            <w10:wrap type="none"/>
          </v:group>
        </w:pict>
      </w:r>
      <w:r>
        <w:rPr/>
        <w:pict>
          <v:group style="position:absolute;margin-left:483.910004pt;margin-top:379.179993pt;width:.5pt;height:65.55pt;mso-position-horizontal-relative:page;mso-position-vertical-relative:page;z-index:-123328" coordorigin="9678,7584" coordsize="10,1311">
            <v:shape style="position:absolute;left:9678;top:7583;width:10;height:430" type="#_x0000_t75" stroked="false">
              <v:imagedata r:id="rId198" o:title=""/>
            </v:shape>
            <v:shape style="position:absolute;left:9678;top:8013;width:10;height:881" type="#_x0000_t75" stroked="false">
              <v:imagedata r:id="rId196" o:title=""/>
            </v:shape>
            <w10:wrap type="none"/>
          </v:group>
        </w:pict>
      </w:r>
    </w:p>
    <w:tbl>
      <w:tblPr>
        <w:tblW w:w="0" w:type="auto"/>
        <w:jc w:val="left"/>
        <w:tblInd w:w="1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09"/>
        <w:gridCol w:w="1837"/>
        <w:gridCol w:w="5104"/>
        <w:gridCol w:w="3542"/>
        <w:gridCol w:w="2268"/>
      </w:tblGrid>
      <w:tr>
        <w:trPr>
          <w:trHeight w:val="512" w:hRule="atLeast"/>
        </w:trPr>
        <w:tc>
          <w:tcPr>
            <w:tcW w:w="14160" w:type="dxa"/>
            <w:gridSpan w:val="5"/>
            <w:tcBorders>
              <w:bottom w:val="single" w:sz="4" w:space="0" w:color="000000"/>
            </w:tcBorders>
            <w:shd w:val="clear" w:color="auto" w:fill="E7E6E6"/>
          </w:tcPr>
          <w:p>
            <w:pPr>
              <w:pStyle w:val="TableParagraph"/>
              <w:spacing w:line="293" w:lineRule="exact" w:before="1"/>
              <w:ind w:left="107"/>
              <w:rPr>
                <w:b/>
                <w:sz w:val="24"/>
              </w:rPr>
            </w:pPr>
            <w:r>
              <w:rPr>
                <w:b/>
                <w:sz w:val="24"/>
              </w:rPr>
              <w:t>II.a General IVDs for health care facilities with clinical laboratories</w:t>
            </w:r>
          </w:p>
          <w:p>
            <w:pPr>
              <w:pStyle w:val="TableParagraph"/>
              <w:spacing w:line="199" w:lineRule="exact"/>
              <w:ind w:left="107"/>
              <w:rPr>
                <w:sz w:val="18"/>
              </w:rPr>
            </w:pPr>
            <w:r>
              <w:rPr>
                <w:sz w:val="18"/>
              </w:rPr>
              <w:t>Note: See list of WHO supporting documents at the end.</w:t>
            </w:r>
          </w:p>
        </w:tc>
      </w:tr>
      <w:tr>
        <w:trPr>
          <w:trHeight w:val="446" w:hRule="atLeast"/>
        </w:trPr>
        <w:tc>
          <w:tcPr>
            <w:tcW w:w="1409" w:type="dxa"/>
            <w:tcBorders>
              <w:top w:val="single" w:sz="4" w:space="0" w:color="000000"/>
              <w:bottom w:val="single" w:sz="4" w:space="0" w:color="000000"/>
              <w:right w:val="nil"/>
            </w:tcBorders>
            <w:shd w:val="clear" w:color="auto" w:fill="E7E6E6"/>
          </w:tcPr>
          <w:p>
            <w:pPr>
              <w:pStyle w:val="TableParagraph"/>
              <w:rPr>
                <w:rFonts w:ascii="Times New Roman"/>
                <w:sz w:val="18"/>
              </w:rPr>
            </w:pPr>
          </w:p>
        </w:tc>
        <w:tc>
          <w:tcPr>
            <w:tcW w:w="1837" w:type="dxa"/>
            <w:tcBorders>
              <w:top w:val="single" w:sz="4" w:space="0" w:color="000000"/>
              <w:left w:val="nil"/>
              <w:bottom w:val="single" w:sz="4" w:space="0" w:color="000000"/>
              <w:right w:val="nil"/>
            </w:tcBorders>
            <w:shd w:val="clear" w:color="auto" w:fill="E7E6E6"/>
          </w:tcPr>
          <w:p>
            <w:pPr>
              <w:pStyle w:val="TableParagraph"/>
              <w:spacing w:line="194" w:lineRule="exact"/>
              <w:ind w:left="117"/>
              <w:rPr>
                <w:b/>
                <w:sz w:val="16"/>
              </w:rPr>
            </w:pPr>
            <w:r>
              <w:rPr>
                <w:b/>
                <w:sz w:val="16"/>
              </w:rPr>
              <w:t>Diagnostic test</w:t>
            </w:r>
          </w:p>
        </w:tc>
        <w:tc>
          <w:tcPr>
            <w:tcW w:w="5104" w:type="dxa"/>
            <w:tcBorders>
              <w:top w:val="single" w:sz="4" w:space="0" w:color="000000"/>
              <w:left w:val="nil"/>
              <w:bottom w:val="single" w:sz="4" w:space="0" w:color="000000"/>
              <w:right w:val="nil"/>
            </w:tcBorders>
            <w:shd w:val="clear" w:color="auto" w:fill="E7E6E6"/>
          </w:tcPr>
          <w:p>
            <w:pPr>
              <w:pStyle w:val="TableParagraph"/>
              <w:spacing w:line="194" w:lineRule="exact"/>
              <w:ind w:left="121"/>
              <w:rPr>
                <w:b/>
                <w:sz w:val="16"/>
              </w:rPr>
            </w:pPr>
            <w:r>
              <w:rPr>
                <w:b/>
                <w:sz w:val="16"/>
              </w:rPr>
              <w:t>Test purpose</w:t>
            </w:r>
          </w:p>
        </w:tc>
        <w:tc>
          <w:tcPr>
            <w:tcW w:w="3542" w:type="dxa"/>
            <w:tcBorders>
              <w:top w:val="single" w:sz="4" w:space="0" w:color="000000"/>
              <w:left w:val="nil"/>
              <w:bottom w:val="single" w:sz="4" w:space="0" w:color="000000"/>
              <w:right w:val="nil"/>
            </w:tcBorders>
            <w:shd w:val="clear" w:color="auto" w:fill="E7E6E6"/>
          </w:tcPr>
          <w:p>
            <w:pPr>
              <w:pStyle w:val="TableParagraph"/>
              <w:spacing w:line="194" w:lineRule="exact"/>
              <w:ind w:left="123"/>
              <w:rPr>
                <w:b/>
                <w:sz w:val="16"/>
              </w:rPr>
            </w:pPr>
            <w:r>
              <w:rPr>
                <w:b/>
                <w:sz w:val="16"/>
              </w:rPr>
              <w:t>Assay format</w:t>
            </w:r>
          </w:p>
        </w:tc>
        <w:tc>
          <w:tcPr>
            <w:tcW w:w="2268" w:type="dxa"/>
            <w:tcBorders>
              <w:top w:val="single" w:sz="4" w:space="0" w:color="000000"/>
              <w:left w:val="nil"/>
              <w:bottom w:val="single" w:sz="4" w:space="0" w:color="000000"/>
            </w:tcBorders>
            <w:shd w:val="clear" w:color="auto" w:fill="E7E6E6"/>
          </w:tcPr>
          <w:p>
            <w:pPr>
              <w:pStyle w:val="TableParagraph"/>
              <w:spacing w:line="194" w:lineRule="exact"/>
              <w:ind w:left="124"/>
              <w:rPr>
                <w:b/>
                <w:sz w:val="16"/>
              </w:rPr>
            </w:pPr>
            <w:r>
              <w:rPr>
                <w:b/>
                <w:sz w:val="16"/>
              </w:rPr>
              <w:t>Specimen type</w:t>
            </w:r>
          </w:p>
        </w:tc>
      </w:tr>
      <w:tr>
        <w:trPr>
          <w:trHeight w:val="878" w:hRule="atLeast"/>
        </w:trPr>
        <w:tc>
          <w:tcPr>
            <w:tcW w:w="1409" w:type="dxa"/>
            <w:vMerge w:val="restart"/>
            <w:tcBorders>
              <w:top w:val="single" w:sz="4" w:space="0" w:color="000000"/>
              <w:bottom w:val="single" w:sz="4" w:space="0" w:color="000000"/>
              <w:right w:val="nil"/>
            </w:tcBorders>
          </w:tcPr>
          <w:p>
            <w:pPr>
              <w:pStyle w:val="TableParagraph"/>
              <w:ind w:left="107" w:right="268"/>
              <w:jc w:val="both"/>
              <w:rPr>
                <w:sz w:val="18"/>
              </w:rPr>
            </w:pPr>
            <w:r>
              <w:rPr>
                <w:sz w:val="18"/>
              </w:rPr>
              <w:t>Microbiology, mycology and parasitology</w:t>
            </w:r>
          </w:p>
        </w:tc>
        <w:tc>
          <w:tcPr>
            <w:tcW w:w="1837" w:type="dxa"/>
            <w:tcBorders>
              <w:top w:val="single" w:sz="4" w:space="0" w:color="000000"/>
              <w:left w:val="nil"/>
              <w:bottom w:val="single" w:sz="4" w:space="0" w:color="000000"/>
              <w:right w:val="nil"/>
            </w:tcBorders>
          </w:tcPr>
          <w:p>
            <w:pPr>
              <w:pStyle w:val="TableParagraph"/>
              <w:ind w:left="117" w:right="379"/>
              <w:rPr>
                <w:sz w:val="18"/>
              </w:rPr>
            </w:pPr>
            <w:r>
              <w:rPr>
                <w:sz w:val="18"/>
              </w:rPr>
              <w:t>Urine dipstick and urine microscopy</w:t>
            </w:r>
          </w:p>
        </w:tc>
        <w:tc>
          <w:tcPr>
            <w:tcW w:w="5104" w:type="dxa"/>
            <w:tcBorders>
              <w:top w:val="single" w:sz="4" w:space="0" w:color="000000"/>
              <w:left w:val="nil"/>
              <w:bottom w:val="single" w:sz="4" w:space="0" w:color="000000"/>
              <w:right w:val="nil"/>
            </w:tcBorders>
          </w:tcPr>
          <w:p>
            <w:pPr>
              <w:pStyle w:val="TableParagraph"/>
              <w:ind w:left="121" w:right="262"/>
              <w:rPr>
                <w:sz w:val="18"/>
              </w:rPr>
            </w:pPr>
            <w:r>
              <w:rPr>
                <w:sz w:val="18"/>
              </w:rPr>
              <w:t>Detection of UTIs (dipstick) and identification of red and white blood cells, casts, squamous epithelial cells, bacteria, yeast, </w:t>
            </w:r>
            <w:r>
              <w:rPr>
                <w:i/>
                <w:sz w:val="18"/>
              </w:rPr>
              <w:t>Schistosoma haematobium </w:t>
            </w:r>
            <w:r>
              <w:rPr>
                <w:sz w:val="18"/>
              </w:rPr>
              <w:t>and other cellular components</w:t>
            </w:r>
          </w:p>
          <w:p>
            <w:pPr>
              <w:pStyle w:val="TableParagraph"/>
              <w:spacing w:line="199" w:lineRule="exact"/>
              <w:ind w:left="121"/>
              <w:rPr>
                <w:sz w:val="18"/>
              </w:rPr>
            </w:pPr>
            <w:r>
              <w:rPr>
                <w:sz w:val="18"/>
              </w:rPr>
              <w:t>(microscopy)</w:t>
            </w:r>
          </w:p>
        </w:tc>
        <w:tc>
          <w:tcPr>
            <w:tcW w:w="3542" w:type="dxa"/>
            <w:tcBorders>
              <w:top w:val="single" w:sz="4" w:space="0" w:color="000000"/>
              <w:left w:val="nil"/>
              <w:bottom w:val="single" w:sz="4" w:space="0" w:color="000000"/>
              <w:right w:val="nil"/>
            </w:tcBorders>
          </w:tcPr>
          <w:p>
            <w:pPr>
              <w:pStyle w:val="TableParagraph"/>
              <w:ind w:left="123" w:right="347"/>
              <w:rPr>
                <w:sz w:val="18"/>
              </w:rPr>
            </w:pPr>
            <w:r>
              <w:rPr>
                <w:sz w:val="18"/>
              </w:rPr>
              <w:t>Multi-parameter strips (dipstick) and light microscopy</w:t>
            </w:r>
          </w:p>
        </w:tc>
        <w:tc>
          <w:tcPr>
            <w:tcW w:w="2268" w:type="dxa"/>
            <w:tcBorders>
              <w:top w:val="single" w:sz="4" w:space="0" w:color="000000"/>
              <w:left w:val="nil"/>
              <w:bottom w:val="single" w:sz="4" w:space="0" w:color="000000"/>
            </w:tcBorders>
          </w:tcPr>
          <w:p>
            <w:pPr>
              <w:pStyle w:val="TableParagraph"/>
              <w:spacing w:line="219" w:lineRule="exact"/>
              <w:ind w:left="124"/>
              <w:rPr>
                <w:sz w:val="18"/>
              </w:rPr>
            </w:pPr>
            <w:r>
              <w:rPr>
                <w:sz w:val="18"/>
              </w:rPr>
              <w:t>Urine</w:t>
            </w:r>
          </w:p>
        </w:tc>
      </w:tr>
      <w:tr>
        <w:trPr>
          <w:trHeight w:val="878" w:hRule="atLeast"/>
        </w:trPr>
        <w:tc>
          <w:tcPr>
            <w:tcW w:w="1409" w:type="dxa"/>
            <w:vMerge/>
            <w:tcBorders>
              <w:top w:val="nil"/>
              <w:bottom w:val="single" w:sz="4" w:space="0" w:color="000000"/>
              <w:right w:val="nil"/>
            </w:tcBorders>
          </w:tcPr>
          <w:p>
            <w:pPr>
              <w:rPr>
                <w:sz w:val="2"/>
                <w:szCs w:val="2"/>
              </w:rPr>
            </w:pPr>
          </w:p>
        </w:tc>
        <w:tc>
          <w:tcPr>
            <w:tcW w:w="1837" w:type="dxa"/>
            <w:tcBorders>
              <w:top w:val="single" w:sz="4" w:space="0" w:color="000000"/>
              <w:left w:val="nil"/>
              <w:bottom w:val="single" w:sz="4" w:space="0" w:color="000000"/>
              <w:right w:val="nil"/>
            </w:tcBorders>
          </w:tcPr>
          <w:p>
            <w:pPr>
              <w:pStyle w:val="TableParagraph"/>
              <w:spacing w:line="219" w:lineRule="exact"/>
              <w:ind w:left="117"/>
              <w:rPr>
                <w:sz w:val="18"/>
              </w:rPr>
            </w:pPr>
            <w:r>
              <w:rPr>
                <w:sz w:val="18"/>
              </w:rPr>
              <w:t>Culture</w:t>
            </w:r>
          </w:p>
        </w:tc>
        <w:tc>
          <w:tcPr>
            <w:tcW w:w="5104" w:type="dxa"/>
            <w:tcBorders>
              <w:top w:val="single" w:sz="4" w:space="0" w:color="000000"/>
              <w:left w:val="nil"/>
              <w:bottom w:val="single" w:sz="4" w:space="0" w:color="000000"/>
              <w:right w:val="nil"/>
            </w:tcBorders>
          </w:tcPr>
          <w:p>
            <w:pPr>
              <w:pStyle w:val="TableParagraph"/>
              <w:ind w:left="121" w:right="657"/>
              <w:jc w:val="both"/>
              <w:rPr>
                <w:sz w:val="18"/>
              </w:rPr>
            </w:pPr>
            <w:r>
              <w:rPr>
                <w:sz w:val="18"/>
              </w:rPr>
              <w:t>Initial step in the process of bacterial species detection</w:t>
            </w:r>
            <w:r>
              <w:rPr>
                <w:spacing w:val="-23"/>
                <w:sz w:val="18"/>
              </w:rPr>
              <w:t> </w:t>
            </w:r>
            <w:r>
              <w:rPr>
                <w:sz w:val="18"/>
              </w:rPr>
              <w:t>and identification to support selection of appropriate antibiotic treatment regimens</w:t>
            </w:r>
          </w:p>
        </w:tc>
        <w:tc>
          <w:tcPr>
            <w:tcW w:w="3542" w:type="dxa"/>
            <w:tcBorders>
              <w:top w:val="single" w:sz="4" w:space="0" w:color="000000"/>
              <w:left w:val="nil"/>
              <w:bottom w:val="single" w:sz="4" w:space="0" w:color="000000"/>
              <w:right w:val="nil"/>
            </w:tcBorders>
          </w:tcPr>
          <w:p>
            <w:pPr>
              <w:pStyle w:val="TableParagraph"/>
              <w:ind w:left="123" w:right="331"/>
              <w:rPr>
                <w:sz w:val="18"/>
              </w:rPr>
            </w:pPr>
            <w:r>
              <w:rPr>
                <w:sz w:val="18"/>
              </w:rPr>
              <w:t>Culture on growth media plates and incubator followed by recovery of isolates and speciation (traditional manual</w:t>
            </w:r>
          </w:p>
          <w:p>
            <w:pPr>
              <w:pStyle w:val="TableParagraph"/>
              <w:spacing w:line="199" w:lineRule="exact"/>
              <w:ind w:left="123"/>
              <w:rPr>
                <w:sz w:val="18"/>
              </w:rPr>
            </w:pPr>
            <w:r>
              <w:rPr>
                <w:sz w:val="18"/>
              </w:rPr>
              <w:t>techniques or automated equipment)</w:t>
            </w:r>
          </w:p>
        </w:tc>
        <w:tc>
          <w:tcPr>
            <w:tcW w:w="2268" w:type="dxa"/>
            <w:tcBorders>
              <w:top w:val="single" w:sz="4" w:space="0" w:color="000000"/>
              <w:left w:val="nil"/>
              <w:bottom w:val="single" w:sz="4" w:space="0" w:color="000000"/>
            </w:tcBorders>
          </w:tcPr>
          <w:p>
            <w:pPr>
              <w:pStyle w:val="TableParagraph"/>
              <w:ind w:left="124" w:right="238"/>
              <w:rPr>
                <w:sz w:val="18"/>
              </w:rPr>
            </w:pPr>
            <w:r>
              <w:rPr>
                <w:sz w:val="18"/>
              </w:rPr>
              <w:t>Disease appropriate specimens (e.g. venous whole blood, urine, stool,</w:t>
            </w:r>
          </w:p>
          <w:p>
            <w:pPr>
              <w:pStyle w:val="TableParagraph"/>
              <w:spacing w:line="199" w:lineRule="exact"/>
              <w:ind w:left="124"/>
              <w:rPr>
                <w:sz w:val="18"/>
              </w:rPr>
            </w:pPr>
            <w:r>
              <w:rPr>
                <w:sz w:val="18"/>
              </w:rPr>
              <w:t>etc.)</w:t>
            </w:r>
          </w:p>
        </w:tc>
      </w:tr>
      <w:tr>
        <w:trPr>
          <w:trHeight w:val="880" w:hRule="atLeast"/>
        </w:trPr>
        <w:tc>
          <w:tcPr>
            <w:tcW w:w="1409" w:type="dxa"/>
            <w:vMerge/>
            <w:tcBorders>
              <w:top w:val="nil"/>
              <w:bottom w:val="single" w:sz="4" w:space="0" w:color="000000"/>
              <w:right w:val="nil"/>
            </w:tcBorders>
          </w:tcPr>
          <w:p>
            <w:pPr>
              <w:rPr>
                <w:sz w:val="2"/>
                <w:szCs w:val="2"/>
              </w:rPr>
            </w:pPr>
          </w:p>
        </w:tc>
        <w:tc>
          <w:tcPr>
            <w:tcW w:w="1837" w:type="dxa"/>
            <w:tcBorders>
              <w:top w:val="single" w:sz="4" w:space="0" w:color="000000"/>
              <w:left w:val="nil"/>
              <w:bottom w:val="single" w:sz="4" w:space="0" w:color="000000"/>
              <w:right w:val="nil"/>
            </w:tcBorders>
          </w:tcPr>
          <w:p>
            <w:pPr>
              <w:pStyle w:val="TableParagraph"/>
              <w:spacing w:before="1"/>
              <w:ind w:left="117"/>
              <w:rPr>
                <w:sz w:val="18"/>
              </w:rPr>
            </w:pPr>
            <w:r>
              <w:rPr>
                <w:sz w:val="18"/>
              </w:rPr>
              <w:t>Blood culture</w:t>
            </w:r>
          </w:p>
        </w:tc>
        <w:tc>
          <w:tcPr>
            <w:tcW w:w="5104" w:type="dxa"/>
            <w:tcBorders>
              <w:top w:val="single" w:sz="4" w:space="0" w:color="000000"/>
              <w:left w:val="nil"/>
              <w:bottom w:val="single" w:sz="4" w:space="0" w:color="000000"/>
              <w:right w:val="nil"/>
            </w:tcBorders>
          </w:tcPr>
          <w:p>
            <w:pPr>
              <w:pStyle w:val="TableParagraph"/>
              <w:spacing w:before="1"/>
              <w:ind w:left="121" w:right="262"/>
              <w:rPr>
                <w:sz w:val="18"/>
              </w:rPr>
            </w:pPr>
            <w:r>
              <w:rPr>
                <w:sz w:val="18"/>
              </w:rPr>
              <w:t>For the diagnosis of bacterial and fungal blood stream infections (sepsis)</w:t>
            </w:r>
          </w:p>
        </w:tc>
        <w:tc>
          <w:tcPr>
            <w:tcW w:w="3542" w:type="dxa"/>
            <w:tcBorders>
              <w:top w:val="single" w:sz="4" w:space="0" w:color="000000"/>
              <w:left w:val="nil"/>
              <w:bottom w:val="single" w:sz="4" w:space="0" w:color="000000"/>
              <w:right w:val="nil"/>
            </w:tcBorders>
          </w:tcPr>
          <w:p>
            <w:pPr>
              <w:pStyle w:val="TableParagraph"/>
              <w:spacing w:before="1"/>
              <w:ind w:left="123" w:right="97"/>
              <w:rPr>
                <w:sz w:val="18"/>
              </w:rPr>
            </w:pPr>
            <w:r>
              <w:rPr>
                <w:sz w:val="18"/>
              </w:rPr>
              <w:t>Blood culture bottle and incubator followed by recovery of isolates and speciation (traditional manual techniques or automated</w:t>
            </w:r>
          </w:p>
          <w:p>
            <w:pPr>
              <w:pStyle w:val="TableParagraph"/>
              <w:spacing w:line="200" w:lineRule="exact"/>
              <w:ind w:left="123"/>
              <w:rPr>
                <w:sz w:val="18"/>
              </w:rPr>
            </w:pPr>
            <w:r>
              <w:rPr>
                <w:sz w:val="18"/>
              </w:rPr>
              <w:t>equipment)</w:t>
            </w:r>
          </w:p>
        </w:tc>
        <w:tc>
          <w:tcPr>
            <w:tcW w:w="2268" w:type="dxa"/>
            <w:tcBorders>
              <w:top w:val="single" w:sz="4" w:space="0" w:color="000000"/>
              <w:left w:val="nil"/>
              <w:bottom w:val="single" w:sz="4" w:space="0" w:color="000000"/>
            </w:tcBorders>
          </w:tcPr>
          <w:p>
            <w:pPr>
              <w:pStyle w:val="TableParagraph"/>
              <w:spacing w:before="1"/>
              <w:ind w:left="124"/>
              <w:rPr>
                <w:sz w:val="18"/>
              </w:rPr>
            </w:pPr>
            <w:r>
              <w:rPr>
                <w:sz w:val="18"/>
              </w:rPr>
              <w:t>Venous whole blood</w:t>
            </w:r>
          </w:p>
        </w:tc>
      </w:tr>
      <w:tr>
        <w:trPr>
          <w:trHeight w:val="659" w:hRule="atLeast"/>
        </w:trPr>
        <w:tc>
          <w:tcPr>
            <w:tcW w:w="1409" w:type="dxa"/>
            <w:vMerge/>
            <w:tcBorders>
              <w:top w:val="nil"/>
              <w:bottom w:val="single" w:sz="4" w:space="0" w:color="000000"/>
              <w:right w:val="nil"/>
            </w:tcBorders>
          </w:tcPr>
          <w:p>
            <w:pPr>
              <w:rPr>
                <w:sz w:val="2"/>
                <w:szCs w:val="2"/>
              </w:rPr>
            </w:pPr>
          </w:p>
        </w:tc>
        <w:tc>
          <w:tcPr>
            <w:tcW w:w="1837" w:type="dxa"/>
            <w:tcBorders>
              <w:top w:val="single" w:sz="4" w:space="0" w:color="000000"/>
              <w:left w:val="nil"/>
              <w:bottom w:val="single" w:sz="4" w:space="0" w:color="000000"/>
              <w:right w:val="nil"/>
            </w:tcBorders>
          </w:tcPr>
          <w:p>
            <w:pPr>
              <w:pStyle w:val="TableParagraph"/>
              <w:ind w:left="117" w:right="200"/>
              <w:rPr>
                <w:sz w:val="18"/>
              </w:rPr>
            </w:pPr>
            <w:r>
              <w:rPr>
                <w:sz w:val="18"/>
              </w:rPr>
              <w:t>Antimicrobial susceptibility testing</w:t>
            </w:r>
          </w:p>
        </w:tc>
        <w:tc>
          <w:tcPr>
            <w:tcW w:w="5104" w:type="dxa"/>
            <w:tcBorders>
              <w:top w:val="single" w:sz="4" w:space="0" w:color="000000"/>
              <w:left w:val="nil"/>
              <w:bottom w:val="single" w:sz="4" w:space="0" w:color="000000"/>
              <w:right w:val="nil"/>
            </w:tcBorders>
          </w:tcPr>
          <w:p>
            <w:pPr>
              <w:pStyle w:val="TableParagraph"/>
              <w:ind w:left="121"/>
              <w:rPr>
                <w:sz w:val="18"/>
              </w:rPr>
            </w:pPr>
            <w:r>
              <w:rPr>
                <w:sz w:val="18"/>
              </w:rPr>
              <w:t>Final step in the process of selection of appropriate antibiotic treatment regimens after species identification</w:t>
            </w:r>
          </w:p>
        </w:tc>
        <w:tc>
          <w:tcPr>
            <w:tcW w:w="3542" w:type="dxa"/>
            <w:tcBorders>
              <w:top w:val="single" w:sz="4" w:space="0" w:color="000000"/>
              <w:left w:val="nil"/>
              <w:bottom w:val="single" w:sz="4" w:space="0" w:color="000000"/>
              <w:right w:val="nil"/>
            </w:tcBorders>
          </w:tcPr>
          <w:p>
            <w:pPr>
              <w:pStyle w:val="TableParagraph"/>
              <w:spacing w:line="219" w:lineRule="exact"/>
              <w:ind w:left="123"/>
              <w:rPr>
                <w:sz w:val="18"/>
              </w:rPr>
            </w:pPr>
            <w:r>
              <w:rPr>
                <w:sz w:val="18"/>
              </w:rPr>
              <w:t>Antimicrobial susceptibility testing of isolates</w:t>
            </w:r>
          </w:p>
          <w:p>
            <w:pPr>
              <w:pStyle w:val="TableParagraph"/>
              <w:spacing w:line="219" w:lineRule="exact" w:before="1"/>
              <w:ind w:left="123"/>
              <w:rPr>
                <w:sz w:val="18"/>
              </w:rPr>
            </w:pPr>
            <w:r>
              <w:rPr>
                <w:sz w:val="18"/>
              </w:rPr>
              <w:t>– may be done manually using disc diffusion</w:t>
            </w:r>
          </w:p>
          <w:p>
            <w:pPr>
              <w:pStyle w:val="TableParagraph"/>
              <w:spacing w:line="201" w:lineRule="exact"/>
              <w:ind w:left="123"/>
              <w:rPr>
                <w:sz w:val="18"/>
              </w:rPr>
            </w:pPr>
            <w:r>
              <w:rPr>
                <w:sz w:val="18"/>
              </w:rPr>
              <w:t>technique or using automated platforms</w:t>
            </w:r>
          </w:p>
        </w:tc>
        <w:tc>
          <w:tcPr>
            <w:tcW w:w="2268" w:type="dxa"/>
            <w:tcBorders>
              <w:top w:val="single" w:sz="4" w:space="0" w:color="000000"/>
              <w:left w:val="nil"/>
              <w:bottom w:val="single" w:sz="4" w:space="0" w:color="000000"/>
            </w:tcBorders>
          </w:tcPr>
          <w:p>
            <w:pPr>
              <w:pStyle w:val="TableParagraph"/>
              <w:spacing w:line="219" w:lineRule="exact"/>
              <w:ind w:left="124"/>
              <w:rPr>
                <w:sz w:val="18"/>
              </w:rPr>
            </w:pPr>
            <w:r>
              <w:rPr>
                <w:sz w:val="18"/>
              </w:rPr>
              <w:t>Microbial isolates</w:t>
            </w:r>
          </w:p>
        </w:tc>
      </w:tr>
      <w:tr>
        <w:trPr>
          <w:trHeight w:val="428" w:hRule="atLeast"/>
        </w:trPr>
        <w:tc>
          <w:tcPr>
            <w:tcW w:w="1409" w:type="dxa"/>
            <w:vMerge w:val="restart"/>
            <w:tcBorders>
              <w:top w:val="single" w:sz="4" w:space="0" w:color="000000"/>
              <w:right w:val="nil"/>
            </w:tcBorders>
          </w:tcPr>
          <w:p>
            <w:pPr>
              <w:pStyle w:val="TableParagraph"/>
              <w:spacing w:line="219" w:lineRule="exact"/>
              <w:ind w:left="107"/>
              <w:rPr>
                <w:sz w:val="18"/>
              </w:rPr>
            </w:pPr>
            <w:r>
              <w:rPr>
                <w:sz w:val="18"/>
              </w:rPr>
              <w:t>Haematology</w:t>
            </w:r>
          </w:p>
        </w:tc>
        <w:tc>
          <w:tcPr>
            <w:tcW w:w="1837" w:type="dxa"/>
            <w:tcBorders>
              <w:top w:val="single" w:sz="4" w:space="0" w:color="000000"/>
              <w:left w:val="nil"/>
              <w:bottom w:val="single" w:sz="4" w:space="0" w:color="000000"/>
              <w:right w:val="nil"/>
            </w:tcBorders>
          </w:tcPr>
          <w:p>
            <w:pPr>
              <w:pStyle w:val="TableParagraph"/>
              <w:spacing w:line="219" w:lineRule="exact"/>
              <w:ind w:left="117"/>
              <w:rPr>
                <w:sz w:val="18"/>
              </w:rPr>
            </w:pPr>
            <w:r>
              <w:rPr>
                <w:sz w:val="18"/>
              </w:rPr>
              <w:t>Haematocrit (Ht)</w:t>
            </w:r>
          </w:p>
        </w:tc>
        <w:tc>
          <w:tcPr>
            <w:tcW w:w="5104" w:type="dxa"/>
            <w:tcBorders>
              <w:top w:val="single" w:sz="4" w:space="0" w:color="000000"/>
              <w:left w:val="nil"/>
              <w:bottom w:val="single" w:sz="4" w:space="0" w:color="000000"/>
              <w:right w:val="nil"/>
            </w:tcBorders>
          </w:tcPr>
          <w:p>
            <w:pPr>
              <w:pStyle w:val="TableParagraph"/>
              <w:spacing w:line="218" w:lineRule="exact"/>
              <w:ind w:left="121"/>
              <w:rPr>
                <w:sz w:val="18"/>
              </w:rPr>
            </w:pPr>
            <w:r>
              <w:rPr>
                <w:sz w:val="18"/>
              </w:rPr>
              <w:t>Diagnosis and monitoring of anaemia</w:t>
            </w:r>
          </w:p>
          <w:p>
            <w:pPr>
              <w:pStyle w:val="TableParagraph"/>
              <w:spacing w:line="191" w:lineRule="exact"/>
              <w:ind w:left="121"/>
              <w:rPr>
                <w:sz w:val="18"/>
              </w:rPr>
            </w:pPr>
            <w:r>
              <w:rPr>
                <w:sz w:val="18"/>
              </w:rPr>
              <w:t>Volume of red blood cells as a percentage of total blood volume</w:t>
            </w:r>
          </w:p>
        </w:tc>
        <w:tc>
          <w:tcPr>
            <w:tcW w:w="3542" w:type="dxa"/>
            <w:tcBorders>
              <w:top w:val="single" w:sz="4" w:space="0" w:color="000000"/>
              <w:left w:val="nil"/>
              <w:bottom w:val="single" w:sz="4" w:space="0" w:color="000000"/>
              <w:right w:val="nil"/>
            </w:tcBorders>
          </w:tcPr>
          <w:p>
            <w:pPr>
              <w:pStyle w:val="TableParagraph"/>
              <w:spacing w:line="219" w:lineRule="exact"/>
              <w:ind w:left="123"/>
              <w:rPr>
                <w:sz w:val="18"/>
              </w:rPr>
            </w:pPr>
            <w:r>
              <w:rPr>
                <w:sz w:val="18"/>
              </w:rPr>
              <w:t>Microhaematocrit centrifuge</w:t>
            </w:r>
          </w:p>
        </w:tc>
        <w:tc>
          <w:tcPr>
            <w:tcW w:w="2268" w:type="dxa"/>
            <w:tcBorders>
              <w:top w:val="single" w:sz="4" w:space="0" w:color="000000"/>
              <w:left w:val="nil"/>
              <w:bottom w:val="single" w:sz="4" w:space="0" w:color="000000"/>
            </w:tcBorders>
          </w:tcPr>
          <w:p>
            <w:pPr>
              <w:pStyle w:val="TableParagraph"/>
              <w:spacing w:line="218" w:lineRule="exact"/>
              <w:ind w:left="124"/>
              <w:rPr>
                <w:sz w:val="18"/>
              </w:rPr>
            </w:pPr>
            <w:r>
              <w:rPr>
                <w:sz w:val="18"/>
              </w:rPr>
              <w:t>Capillary or venous whole</w:t>
            </w:r>
          </w:p>
          <w:p>
            <w:pPr>
              <w:pStyle w:val="TableParagraph"/>
              <w:spacing w:line="191" w:lineRule="exact"/>
              <w:ind w:left="124"/>
              <w:rPr>
                <w:sz w:val="18"/>
              </w:rPr>
            </w:pPr>
            <w:r>
              <w:rPr>
                <w:sz w:val="18"/>
              </w:rPr>
              <w:t>blood</w:t>
            </w:r>
          </w:p>
        </w:tc>
      </w:tr>
      <w:tr>
        <w:trPr>
          <w:trHeight w:val="858" w:hRule="atLeast"/>
        </w:trPr>
        <w:tc>
          <w:tcPr>
            <w:tcW w:w="1409" w:type="dxa"/>
            <w:vMerge/>
            <w:tcBorders>
              <w:top w:val="nil"/>
              <w:right w:val="nil"/>
            </w:tcBorders>
          </w:tcPr>
          <w:p>
            <w:pPr>
              <w:rPr>
                <w:sz w:val="2"/>
                <w:szCs w:val="2"/>
              </w:rPr>
            </w:pPr>
          </w:p>
        </w:tc>
        <w:tc>
          <w:tcPr>
            <w:tcW w:w="1837" w:type="dxa"/>
            <w:tcBorders>
              <w:top w:val="single" w:sz="4" w:space="0" w:color="000000"/>
              <w:left w:val="nil"/>
              <w:bottom w:val="single" w:sz="4" w:space="0" w:color="000000"/>
              <w:right w:val="nil"/>
            </w:tcBorders>
          </w:tcPr>
          <w:p>
            <w:pPr>
              <w:pStyle w:val="TableParagraph"/>
              <w:spacing w:line="209" w:lineRule="exact"/>
              <w:ind w:left="117"/>
              <w:rPr>
                <w:sz w:val="18"/>
              </w:rPr>
            </w:pPr>
            <w:r>
              <w:rPr>
                <w:sz w:val="18"/>
              </w:rPr>
              <w:t>Prothrombin time</w:t>
            </w:r>
          </w:p>
          <w:p>
            <w:pPr>
              <w:pStyle w:val="TableParagraph"/>
              <w:spacing w:before="1"/>
              <w:ind w:left="117" w:right="114"/>
              <w:rPr>
                <w:sz w:val="18"/>
              </w:rPr>
            </w:pPr>
            <w:r>
              <w:rPr>
                <w:sz w:val="18"/>
              </w:rPr>
              <w:t>test and international normalized ratio</w:t>
            </w:r>
          </w:p>
          <w:p>
            <w:pPr>
              <w:pStyle w:val="TableParagraph"/>
              <w:spacing w:line="189" w:lineRule="exact"/>
              <w:ind w:left="117"/>
              <w:rPr>
                <w:sz w:val="18"/>
              </w:rPr>
            </w:pPr>
            <w:r>
              <w:rPr>
                <w:sz w:val="18"/>
              </w:rPr>
              <w:t>(PT/INR)</w:t>
            </w:r>
          </w:p>
        </w:tc>
        <w:tc>
          <w:tcPr>
            <w:tcW w:w="5104" w:type="dxa"/>
            <w:tcBorders>
              <w:top w:val="single" w:sz="4" w:space="0" w:color="000000"/>
              <w:left w:val="nil"/>
              <w:bottom w:val="single" w:sz="4" w:space="0" w:color="000000"/>
              <w:right w:val="nil"/>
            </w:tcBorders>
          </w:tcPr>
          <w:p>
            <w:pPr>
              <w:pStyle w:val="TableParagraph"/>
              <w:spacing w:line="209" w:lineRule="exact"/>
              <w:ind w:left="121"/>
              <w:rPr>
                <w:sz w:val="18"/>
              </w:rPr>
            </w:pPr>
            <w:r>
              <w:rPr>
                <w:sz w:val="18"/>
              </w:rPr>
              <w:t>To detect/diagnose a bleeding disorder or excessive clotting</w:t>
            </w:r>
          </w:p>
          <w:p>
            <w:pPr>
              <w:pStyle w:val="TableParagraph"/>
              <w:spacing w:before="1"/>
              <w:ind w:left="121" w:right="183"/>
              <w:rPr>
                <w:sz w:val="18"/>
              </w:rPr>
            </w:pPr>
            <w:r>
              <w:rPr>
                <w:sz w:val="18"/>
              </w:rPr>
              <w:t>disorder (PT); monitor performance of anticoagulant medications (INR)</w:t>
            </w:r>
          </w:p>
        </w:tc>
        <w:tc>
          <w:tcPr>
            <w:tcW w:w="3542" w:type="dxa"/>
            <w:tcBorders>
              <w:top w:val="single" w:sz="4" w:space="0" w:color="000000"/>
              <w:left w:val="nil"/>
              <w:bottom w:val="single" w:sz="4" w:space="0" w:color="000000"/>
              <w:right w:val="nil"/>
            </w:tcBorders>
          </w:tcPr>
          <w:p>
            <w:pPr>
              <w:pStyle w:val="TableParagraph"/>
              <w:spacing w:line="209" w:lineRule="exact"/>
              <w:ind w:left="123"/>
              <w:rPr>
                <w:sz w:val="18"/>
              </w:rPr>
            </w:pPr>
            <w:r>
              <w:rPr>
                <w:sz w:val="18"/>
              </w:rPr>
              <w:t>Handheld or automated coagulation analyser</w:t>
            </w:r>
          </w:p>
        </w:tc>
        <w:tc>
          <w:tcPr>
            <w:tcW w:w="2268" w:type="dxa"/>
            <w:tcBorders>
              <w:top w:val="single" w:sz="4" w:space="0" w:color="000000"/>
              <w:left w:val="nil"/>
              <w:bottom w:val="single" w:sz="4" w:space="0" w:color="000000"/>
            </w:tcBorders>
          </w:tcPr>
          <w:p>
            <w:pPr>
              <w:pStyle w:val="TableParagraph"/>
              <w:spacing w:line="209" w:lineRule="exact"/>
              <w:ind w:left="124"/>
              <w:rPr>
                <w:sz w:val="18"/>
              </w:rPr>
            </w:pPr>
            <w:r>
              <w:rPr>
                <w:sz w:val="18"/>
              </w:rPr>
              <w:t>Citrate plasma</w:t>
            </w:r>
          </w:p>
        </w:tc>
      </w:tr>
      <w:tr>
        <w:trPr>
          <w:trHeight w:val="205" w:hRule="atLeast"/>
        </w:trPr>
        <w:tc>
          <w:tcPr>
            <w:tcW w:w="1409" w:type="dxa"/>
            <w:vMerge/>
            <w:tcBorders>
              <w:top w:val="nil"/>
              <w:right w:val="nil"/>
            </w:tcBorders>
          </w:tcPr>
          <w:p>
            <w:pPr>
              <w:rPr>
                <w:sz w:val="2"/>
                <w:szCs w:val="2"/>
              </w:rPr>
            </w:pPr>
          </w:p>
        </w:tc>
        <w:tc>
          <w:tcPr>
            <w:tcW w:w="1837" w:type="dxa"/>
            <w:tcBorders>
              <w:top w:val="single" w:sz="4" w:space="0" w:color="000000"/>
              <w:left w:val="nil"/>
              <w:bottom w:val="nil"/>
              <w:right w:val="nil"/>
            </w:tcBorders>
          </w:tcPr>
          <w:p>
            <w:pPr>
              <w:pStyle w:val="TableParagraph"/>
              <w:spacing w:line="185" w:lineRule="exact"/>
              <w:ind w:left="117"/>
              <w:rPr>
                <w:sz w:val="18"/>
              </w:rPr>
            </w:pPr>
            <w:r>
              <w:rPr>
                <w:sz w:val="18"/>
              </w:rPr>
              <w:t>Platelet count</w:t>
            </w:r>
          </w:p>
        </w:tc>
        <w:tc>
          <w:tcPr>
            <w:tcW w:w="5104" w:type="dxa"/>
            <w:tcBorders>
              <w:top w:val="single" w:sz="4" w:space="0" w:color="000000"/>
              <w:left w:val="nil"/>
              <w:bottom w:val="nil"/>
              <w:right w:val="nil"/>
            </w:tcBorders>
          </w:tcPr>
          <w:p>
            <w:pPr>
              <w:pStyle w:val="TableParagraph"/>
              <w:spacing w:line="185" w:lineRule="exact"/>
              <w:ind w:left="121"/>
              <w:rPr>
                <w:sz w:val="18"/>
              </w:rPr>
            </w:pPr>
            <w:r>
              <w:rPr>
                <w:sz w:val="18"/>
              </w:rPr>
              <w:t>Diagnosis of thrombocytopenia</w:t>
            </w:r>
          </w:p>
        </w:tc>
        <w:tc>
          <w:tcPr>
            <w:tcW w:w="3542" w:type="dxa"/>
            <w:tcBorders>
              <w:top w:val="single" w:sz="4" w:space="0" w:color="000000"/>
              <w:left w:val="nil"/>
              <w:bottom w:val="nil"/>
              <w:right w:val="nil"/>
            </w:tcBorders>
          </w:tcPr>
          <w:p>
            <w:pPr>
              <w:pStyle w:val="TableParagraph"/>
              <w:spacing w:line="185" w:lineRule="exact"/>
              <w:ind w:left="123"/>
              <w:rPr>
                <w:sz w:val="18"/>
              </w:rPr>
            </w:pPr>
            <w:r>
              <w:rPr>
                <w:sz w:val="18"/>
              </w:rPr>
              <w:t>Haemocytometer</w:t>
            </w:r>
          </w:p>
        </w:tc>
        <w:tc>
          <w:tcPr>
            <w:tcW w:w="2268" w:type="dxa"/>
            <w:tcBorders>
              <w:top w:val="single" w:sz="4" w:space="0" w:color="000000"/>
              <w:left w:val="nil"/>
              <w:bottom w:val="nil"/>
            </w:tcBorders>
          </w:tcPr>
          <w:p>
            <w:pPr>
              <w:pStyle w:val="TableParagraph"/>
              <w:spacing w:line="185" w:lineRule="exact"/>
              <w:ind w:left="124"/>
              <w:rPr>
                <w:sz w:val="18"/>
              </w:rPr>
            </w:pPr>
            <w:r>
              <w:rPr>
                <w:sz w:val="18"/>
              </w:rPr>
              <w:t>Capillary whole blood</w:t>
            </w:r>
          </w:p>
        </w:tc>
      </w:tr>
      <w:tr>
        <w:trPr>
          <w:trHeight w:val="190" w:hRule="atLeast"/>
        </w:trPr>
        <w:tc>
          <w:tcPr>
            <w:tcW w:w="1409" w:type="dxa"/>
            <w:vMerge/>
            <w:tcBorders>
              <w:top w:val="nil"/>
              <w:right w:val="nil"/>
            </w:tcBorders>
          </w:tcPr>
          <w:p>
            <w:pPr>
              <w:rPr>
                <w:sz w:val="2"/>
                <w:szCs w:val="2"/>
              </w:rPr>
            </w:pPr>
          </w:p>
        </w:tc>
        <w:tc>
          <w:tcPr>
            <w:tcW w:w="1837" w:type="dxa"/>
            <w:tcBorders>
              <w:top w:val="nil"/>
              <w:left w:val="nil"/>
              <w:bottom w:val="nil"/>
              <w:right w:val="nil"/>
            </w:tcBorders>
          </w:tcPr>
          <w:p>
            <w:pPr>
              <w:pStyle w:val="TableParagraph"/>
              <w:rPr>
                <w:rFonts w:ascii="Times New Roman"/>
                <w:sz w:val="12"/>
              </w:rPr>
            </w:pPr>
          </w:p>
        </w:tc>
        <w:tc>
          <w:tcPr>
            <w:tcW w:w="5104" w:type="dxa"/>
            <w:tcBorders>
              <w:top w:val="nil"/>
              <w:left w:val="nil"/>
              <w:bottom w:val="nil"/>
              <w:right w:val="nil"/>
            </w:tcBorders>
          </w:tcPr>
          <w:p>
            <w:pPr>
              <w:pStyle w:val="TableParagraph"/>
              <w:spacing w:line="171" w:lineRule="exact"/>
              <w:ind w:left="121"/>
              <w:rPr>
                <w:sz w:val="18"/>
              </w:rPr>
            </w:pPr>
            <w:r>
              <w:rPr>
                <w:sz w:val="18"/>
              </w:rPr>
              <w:t>Marker to manage severe infections associated with bleeding and</w:t>
            </w:r>
          </w:p>
        </w:tc>
        <w:tc>
          <w:tcPr>
            <w:tcW w:w="3542" w:type="dxa"/>
            <w:tcBorders>
              <w:top w:val="nil"/>
              <w:left w:val="nil"/>
              <w:bottom w:val="nil"/>
              <w:right w:val="nil"/>
            </w:tcBorders>
          </w:tcPr>
          <w:p>
            <w:pPr>
              <w:pStyle w:val="TableParagraph"/>
              <w:spacing w:line="171" w:lineRule="exact"/>
              <w:ind w:left="123"/>
              <w:rPr>
                <w:sz w:val="18"/>
              </w:rPr>
            </w:pPr>
            <w:r>
              <w:rPr>
                <w:sz w:val="18"/>
              </w:rPr>
              <w:t>Haematology analyser</w:t>
            </w:r>
          </w:p>
        </w:tc>
        <w:tc>
          <w:tcPr>
            <w:tcW w:w="2268" w:type="dxa"/>
            <w:tcBorders>
              <w:top w:val="nil"/>
              <w:left w:val="nil"/>
              <w:bottom w:val="nil"/>
              <w:right w:val="nil"/>
            </w:tcBorders>
          </w:tcPr>
          <w:p>
            <w:pPr>
              <w:pStyle w:val="TableParagraph"/>
              <w:spacing w:line="171" w:lineRule="exact"/>
              <w:ind w:left="124"/>
              <w:rPr>
                <w:sz w:val="18"/>
              </w:rPr>
            </w:pPr>
            <w:r>
              <w:rPr>
                <w:sz w:val="18"/>
              </w:rPr>
              <w:t>Venous whole blood</w:t>
            </w:r>
          </w:p>
        </w:tc>
      </w:tr>
      <w:tr>
        <w:trPr>
          <w:trHeight w:val="404" w:hRule="atLeast"/>
        </w:trPr>
        <w:tc>
          <w:tcPr>
            <w:tcW w:w="1409" w:type="dxa"/>
            <w:vMerge/>
            <w:tcBorders>
              <w:top w:val="nil"/>
              <w:right w:val="nil"/>
            </w:tcBorders>
          </w:tcPr>
          <w:p>
            <w:pPr>
              <w:rPr>
                <w:sz w:val="2"/>
                <w:szCs w:val="2"/>
              </w:rPr>
            </w:pPr>
          </w:p>
        </w:tc>
        <w:tc>
          <w:tcPr>
            <w:tcW w:w="1837" w:type="dxa"/>
            <w:tcBorders>
              <w:top w:val="nil"/>
              <w:left w:val="nil"/>
              <w:bottom w:val="single" w:sz="4" w:space="0" w:color="000000"/>
              <w:right w:val="nil"/>
            </w:tcBorders>
          </w:tcPr>
          <w:p>
            <w:pPr>
              <w:pStyle w:val="TableParagraph"/>
              <w:rPr>
                <w:rFonts w:ascii="Times New Roman"/>
                <w:sz w:val="18"/>
              </w:rPr>
            </w:pPr>
          </w:p>
        </w:tc>
        <w:tc>
          <w:tcPr>
            <w:tcW w:w="5104" w:type="dxa"/>
            <w:tcBorders>
              <w:top w:val="nil"/>
              <w:left w:val="nil"/>
              <w:bottom w:val="single" w:sz="4" w:space="0" w:color="000000"/>
              <w:right w:val="nil"/>
            </w:tcBorders>
          </w:tcPr>
          <w:p>
            <w:pPr>
              <w:pStyle w:val="TableParagraph"/>
              <w:spacing w:line="194" w:lineRule="exact"/>
              <w:ind w:left="121"/>
              <w:rPr>
                <w:sz w:val="18"/>
              </w:rPr>
            </w:pPr>
            <w:r>
              <w:rPr>
                <w:sz w:val="18"/>
              </w:rPr>
              <w:t>sepsis (i.e. VHF, meningococcemia) and certain haematological</w:t>
            </w:r>
          </w:p>
          <w:p>
            <w:pPr>
              <w:pStyle w:val="TableParagraph"/>
              <w:spacing w:line="191" w:lineRule="exact"/>
              <w:ind w:left="121"/>
              <w:rPr>
                <w:sz w:val="18"/>
              </w:rPr>
            </w:pPr>
            <w:r>
              <w:rPr>
                <w:sz w:val="18"/>
              </w:rPr>
              <w:t>disorders</w:t>
            </w:r>
          </w:p>
        </w:tc>
        <w:tc>
          <w:tcPr>
            <w:tcW w:w="3542" w:type="dxa"/>
            <w:tcBorders>
              <w:top w:val="nil"/>
              <w:left w:val="nil"/>
              <w:bottom w:val="single" w:sz="4" w:space="0" w:color="000000"/>
              <w:right w:val="nil"/>
            </w:tcBorders>
          </w:tcPr>
          <w:p>
            <w:pPr>
              <w:pStyle w:val="TableParagraph"/>
              <w:spacing w:line="214" w:lineRule="exact"/>
              <w:ind w:left="123"/>
              <w:rPr>
                <w:sz w:val="18"/>
              </w:rPr>
            </w:pPr>
            <w:r>
              <w:rPr>
                <w:sz w:val="18"/>
              </w:rPr>
              <w:t>Flow cytometer</w:t>
            </w:r>
          </w:p>
        </w:tc>
        <w:tc>
          <w:tcPr>
            <w:tcW w:w="2268" w:type="dxa"/>
            <w:tcBorders>
              <w:top w:val="nil"/>
              <w:left w:val="nil"/>
              <w:bottom w:val="single" w:sz="4" w:space="0" w:color="000000"/>
            </w:tcBorders>
          </w:tcPr>
          <w:p>
            <w:pPr>
              <w:pStyle w:val="TableParagraph"/>
              <w:spacing w:line="214" w:lineRule="exact"/>
              <w:ind w:left="124"/>
              <w:rPr>
                <w:sz w:val="18"/>
              </w:rPr>
            </w:pPr>
            <w:r>
              <w:rPr>
                <w:sz w:val="18"/>
              </w:rPr>
              <w:t>Venous whole blood</w:t>
            </w:r>
          </w:p>
        </w:tc>
      </w:tr>
      <w:tr>
        <w:trPr>
          <w:trHeight w:val="870" w:hRule="atLeast"/>
        </w:trPr>
        <w:tc>
          <w:tcPr>
            <w:tcW w:w="1409" w:type="dxa"/>
            <w:vMerge/>
            <w:tcBorders>
              <w:top w:val="nil"/>
              <w:right w:val="nil"/>
            </w:tcBorders>
          </w:tcPr>
          <w:p>
            <w:pPr>
              <w:rPr>
                <w:sz w:val="2"/>
                <w:szCs w:val="2"/>
              </w:rPr>
            </w:pPr>
          </w:p>
        </w:tc>
        <w:tc>
          <w:tcPr>
            <w:tcW w:w="1837" w:type="dxa"/>
            <w:tcBorders>
              <w:top w:val="single" w:sz="4" w:space="0" w:color="000000"/>
              <w:left w:val="nil"/>
              <w:right w:val="nil"/>
            </w:tcBorders>
          </w:tcPr>
          <w:p>
            <w:pPr>
              <w:pStyle w:val="TableParagraph"/>
              <w:spacing w:line="237" w:lineRule="auto"/>
              <w:ind w:left="117" w:right="529"/>
              <w:rPr>
                <w:sz w:val="18"/>
              </w:rPr>
            </w:pPr>
            <w:r>
              <w:rPr>
                <w:sz w:val="18"/>
              </w:rPr>
              <w:t>Complete blood count (CBC)</w:t>
            </w:r>
          </w:p>
          <w:p>
            <w:pPr>
              <w:pStyle w:val="TableParagraph"/>
              <w:spacing w:line="220" w:lineRule="atLeast"/>
              <w:ind w:left="117" w:right="826"/>
              <w:rPr>
                <w:sz w:val="18"/>
              </w:rPr>
            </w:pPr>
            <w:r>
              <w:rPr>
                <w:sz w:val="18"/>
              </w:rPr>
              <w:t>Automated, differential</w:t>
            </w:r>
          </w:p>
        </w:tc>
        <w:tc>
          <w:tcPr>
            <w:tcW w:w="5104" w:type="dxa"/>
            <w:tcBorders>
              <w:top w:val="single" w:sz="4" w:space="0" w:color="000000"/>
              <w:left w:val="nil"/>
              <w:right w:val="nil"/>
            </w:tcBorders>
          </w:tcPr>
          <w:p>
            <w:pPr>
              <w:pStyle w:val="TableParagraph"/>
              <w:spacing w:line="237" w:lineRule="auto"/>
              <w:ind w:left="121" w:right="81"/>
              <w:rPr>
                <w:sz w:val="18"/>
              </w:rPr>
            </w:pPr>
            <w:r>
              <w:rPr>
                <w:sz w:val="18"/>
              </w:rPr>
              <w:t>Evaluation of patient’s overall health and to detect a wide range of disorders, including anaemia, infection and leukaemia</w:t>
            </w:r>
          </w:p>
        </w:tc>
        <w:tc>
          <w:tcPr>
            <w:tcW w:w="3542" w:type="dxa"/>
            <w:tcBorders>
              <w:top w:val="single" w:sz="4" w:space="0" w:color="000000"/>
              <w:left w:val="nil"/>
              <w:right w:val="nil"/>
            </w:tcBorders>
          </w:tcPr>
          <w:p>
            <w:pPr>
              <w:pStyle w:val="TableParagraph"/>
              <w:spacing w:line="237" w:lineRule="auto"/>
              <w:ind w:left="123" w:right="133"/>
              <w:rPr>
                <w:sz w:val="18"/>
              </w:rPr>
            </w:pPr>
            <w:r>
              <w:rPr>
                <w:sz w:val="18"/>
              </w:rPr>
              <w:t>Automated hematology analyser (WBC, RBC, platelets, Hb and Ht) includes lymphocytes,</w:t>
            </w:r>
          </w:p>
          <w:p>
            <w:pPr>
              <w:pStyle w:val="TableParagraph"/>
              <w:spacing w:line="220" w:lineRule="atLeast"/>
              <w:ind w:left="123" w:right="195"/>
              <w:rPr>
                <w:sz w:val="18"/>
              </w:rPr>
            </w:pPr>
            <w:r>
              <w:rPr>
                <w:sz w:val="18"/>
              </w:rPr>
              <w:t>monocytes and granulocytes (for three-part differential)</w:t>
            </w:r>
          </w:p>
        </w:tc>
        <w:tc>
          <w:tcPr>
            <w:tcW w:w="2268" w:type="dxa"/>
            <w:tcBorders>
              <w:top w:val="single" w:sz="4" w:space="0" w:color="000000"/>
              <w:left w:val="nil"/>
            </w:tcBorders>
          </w:tcPr>
          <w:p>
            <w:pPr>
              <w:pStyle w:val="TableParagraph"/>
              <w:spacing w:line="209" w:lineRule="exact"/>
              <w:ind w:left="124"/>
              <w:rPr>
                <w:sz w:val="18"/>
              </w:rPr>
            </w:pPr>
            <w:r>
              <w:rPr>
                <w:sz w:val="18"/>
              </w:rPr>
              <w:t>Venous whole blood</w:t>
            </w:r>
          </w:p>
        </w:tc>
      </w:tr>
    </w:tbl>
    <w:p>
      <w:pPr>
        <w:spacing w:after="0" w:line="209" w:lineRule="exact"/>
        <w:rPr>
          <w:sz w:val="18"/>
        </w:rPr>
        <w:sectPr>
          <w:headerReference w:type="default" r:id="rId177"/>
          <w:footerReference w:type="default" r:id="rId178"/>
          <w:pgSz w:w="16840" w:h="11910" w:orient="landscape"/>
          <w:pgMar w:header="0" w:footer="495" w:top="1100" w:bottom="680" w:left="1180" w:right="920"/>
          <w:pgNumType w:start="18"/>
        </w:sectPr>
      </w:pPr>
    </w:p>
    <w:p>
      <w:pPr>
        <w:pStyle w:val="BodyText"/>
        <w:rPr>
          <w:rFonts w:ascii="Times New Roman"/>
          <w:sz w:val="29"/>
        </w:rPr>
      </w:pPr>
      <w:r>
        <w:rPr/>
        <w:pict>
          <v:group style="position:absolute;margin-left:122.300003pt;margin-top:102.020004pt;width:.5pt;height:193.4pt;mso-position-horizontal-relative:page;mso-position-vertical-relative:page;z-index:-123304" coordorigin="2446,2040" coordsize="10,3868">
            <v:shape style="position:absolute;left:2446;top:2040;width:10;height:447" type="#_x0000_t75" stroked="false">
              <v:imagedata r:id="rId143" o:title=""/>
            </v:shape>
            <v:shape style="position:absolute;left:2446;top:2486;width:10;height:10" type="#_x0000_t75" stroked="false">
              <v:imagedata r:id="rId168" o:title=""/>
            </v:shape>
            <v:shape style="position:absolute;left:2446;top:2496;width:10;height:1110" type="#_x0000_t75" stroked="false">
              <v:imagedata r:id="rId201" o:title=""/>
            </v:shape>
            <v:shape style="position:absolute;left:2446;top:3605;width:10;height:1145" type="#_x0000_t75" stroked="false">
              <v:imagedata r:id="rId202" o:title=""/>
            </v:shape>
            <v:shape style="position:absolute;left:2446;top:4750;width:10;height:1158" type="#_x0000_t75" stroked="false">
              <v:imagedata r:id="rId203" o:title=""/>
            </v:shape>
            <w10:wrap type="none"/>
          </v:group>
        </w:pict>
      </w:r>
      <w:r>
        <w:rPr/>
        <w:pict>
          <v:group style="position:absolute;margin-left:214.460007pt;margin-top:102.020004pt;width:.5pt;height:193.4pt;mso-position-horizontal-relative:page;mso-position-vertical-relative:page;z-index:-123280" coordorigin="4289,2040" coordsize="10,3868">
            <v:shape style="position:absolute;left:4289;top:2040;width:10;height:447" type="#_x0000_t75" stroked="false">
              <v:imagedata r:id="rId143" o:title=""/>
            </v:shape>
            <v:shape style="position:absolute;left:4289;top:2486;width:10;height:10" type="#_x0000_t75" stroked="false">
              <v:imagedata r:id="rId168" o:title=""/>
            </v:shape>
            <v:shape style="position:absolute;left:4289;top:2496;width:10;height:1100" type="#_x0000_t75" stroked="false">
              <v:imagedata r:id="rId204" o:title=""/>
            </v:shape>
            <v:shape style="position:absolute;left:4289;top:3596;width:10;height:10" type="#_x0000_t75" stroked="false">
              <v:imagedata r:id="rId205" o:title=""/>
            </v:shape>
            <v:shape style="position:absolute;left:4289;top:3605;width:10;height:1136" type="#_x0000_t75" stroked="false">
              <v:imagedata r:id="rId206" o:title=""/>
            </v:shape>
            <v:shape style="position:absolute;left:4289;top:4741;width:10;height:10" type="#_x0000_t75" stroked="false">
              <v:imagedata r:id="rId207" o:title=""/>
            </v:shape>
            <v:shape style="position:absolute;left:4289;top:4750;width:10;height:1148" type="#_x0000_t75" stroked="false">
              <v:imagedata r:id="rId208" o:title=""/>
            </v:shape>
            <v:shape style="position:absolute;left:4289;top:5898;width:10;height:10" type="#_x0000_t75" stroked="false">
              <v:imagedata r:id="rId209" o:title=""/>
            </v:shape>
            <w10:wrap type="none"/>
          </v:group>
        </w:pict>
      </w:r>
      <w:r>
        <w:rPr/>
        <w:pict>
          <v:group style="position:absolute;margin-left:320.809998pt;margin-top:102.020004pt;width:298.25pt;height:348.45pt;mso-position-horizontal-relative:page;mso-position-vertical-relative:page;z-index:-123256" coordorigin="6416,2040" coordsize="5965,6969">
            <v:shape style="position:absolute;left:7976;top:2040;width:10;height:447" type="#_x0000_t75" stroked="false">
              <v:imagedata r:id="rId143" o:title=""/>
            </v:shape>
            <v:shape style="position:absolute;left:7976;top:2486;width:10;height:10" type="#_x0000_t75" stroked="false">
              <v:imagedata r:id="rId210" o:title=""/>
            </v:shape>
            <v:shape style="position:absolute;left:7976;top:2496;width:10;height:1100" type="#_x0000_t75" stroked="false">
              <v:imagedata r:id="rId204" o:title=""/>
            </v:shape>
            <v:shape style="position:absolute;left:7976;top:3596;width:10;height:10" type="#_x0000_t75" stroked="false">
              <v:imagedata r:id="rId211" o:title=""/>
            </v:shape>
            <v:shape style="position:absolute;left:7976;top:3605;width:10;height:1136" type="#_x0000_t75" stroked="false">
              <v:imagedata r:id="rId206" o:title=""/>
            </v:shape>
            <v:shape style="position:absolute;left:7976;top:4741;width:10;height:10" type="#_x0000_t75" stroked="false">
              <v:imagedata r:id="rId212" o:title=""/>
            </v:shape>
            <v:shape style="position:absolute;left:9819;top:2040;width:10;height:447" type="#_x0000_t75" stroked="false">
              <v:imagedata r:id="rId143" o:title=""/>
            </v:shape>
            <v:shape style="position:absolute;left:9819;top:2486;width:10;height:1110" type="#_x0000_t75" stroked="false">
              <v:imagedata r:id="rId213" o:title=""/>
            </v:shape>
            <v:shape style="position:absolute;left:9819;top:3596;width:10;height:1145" type="#_x0000_t75" stroked="false">
              <v:imagedata r:id="rId214" o:title=""/>
            </v:shape>
            <v:shape style="position:absolute;left:12371;top:2040;width:10;height:456" type="#_x0000_t75" stroked="false">
              <v:imagedata r:id="rId181" o:title=""/>
            </v:shape>
            <v:shape style="position:absolute;left:6416;top:2040;width:5965;height:3868" type="#_x0000_t75" stroked="false">
              <v:imagedata r:id="rId215" o:title=""/>
            </v:shape>
            <v:shape style="position:absolute;left:7976;top:5898;width:10;height:10" type="#_x0000_t75" stroked="false">
              <v:imagedata r:id="rId216" o:title=""/>
            </v:shape>
            <v:shape style="position:absolute;left:6416;top:5898;width:5965;height:1448" type="#_x0000_t75" stroked="false">
              <v:imagedata r:id="rId217" o:title=""/>
            </v:shape>
            <v:shape style="position:absolute;left:7976;top:7335;width:10;height:10" type="#_x0000_t75" stroked="false">
              <v:imagedata r:id="rId218" o:title=""/>
            </v:shape>
            <v:shape style="position:absolute;left:6416;top:7335;width:5965;height:1674" type="#_x0000_t75" stroked="false">
              <v:imagedata r:id="rId219" o:title=""/>
            </v:shape>
            <w10:wrap type="none"/>
          </v:group>
        </w:pict>
      </w:r>
      <w:r>
        <w:rPr/>
        <w:pict>
          <v:group style="position:absolute;margin-left:214.460007pt;margin-top:295.390015pt;width:.5pt;height:155.1pt;mso-position-horizontal-relative:page;mso-position-vertical-relative:page;z-index:-123232" coordorigin="4289,5908" coordsize="10,3102">
            <v:shape style="position:absolute;left:4289;top:5907;width:10;height:1428" type="#_x0000_t75" stroked="false">
              <v:imagedata r:id="rId220" o:title=""/>
            </v:shape>
            <v:shape style="position:absolute;left:4289;top:7335;width:10;height:10" type="#_x0000_t75" stroked="false">
              <v:imagedata r:id="rId218" o:title=""/>
            </v:shape>
            <v:shape style="position:absolute;left:4289;top:7345;width:10;height:1664" type="#_x0000_t75" stroked="false">
              <v:imagedata r:id="rId221" o:title=""/>
            </v:shape>
            <w10:wrap type="none"/>
          </v:group>
        </w:pict>
      </w:r>
      <w:r>
        <w:rPr/>
        <w:pict>
          <v:group style="position:absolute;margin-left:122.300003pt;margin-top:295.390015pt;width:.5pt;height:155.1pt;mso-position-horizontal-relative:page;mso-position-vertical-relative:page;z-index:-123208" coordorigin="2446,5908" coordsize="10,3102">
            <v:shape style="position:absolute;left:2446;top:5907;width:10;height:1438" type="#_x0000_t75" stroked="false">
              <v:imagedata r:id="rId222" o:title=""/>
            </v:shape>
            <v:shape style="position:absolute;left:2446;top:7345;width:10;height:1664" type="#_x0000_t75" stroked="false">
              <v:imagedata r:id="rId221" o:title=""/>
            </v:shape>
            <w10:wrap type="none"/>
          </v:group>
        </w:pic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4"/>
        <w:gridCol w:w="1838"/>
        <w:gridCol w:w="2127"/>
        <w:gridCol w:w="1561"/>
        <w:gridCol w:w="1842"/>
        <w:gridCol w:w="2549"/>
        <w:gridCol w:w="3387"/>
      </w:tblGrid>
      <w:tr>
        <w:trPr>
          <w:trHeight w:val="560" w:hRule="atLeast"/>
        </w:trPr>
        <w:tc>
          <w:tcPr>
            <w:tcW w:w="14428" w:type="dxa"/>
            <w:gridSpan w:val="7"/>
            <w:tcBorders>
              <w:top w:val="single" w:sz="12" w:space="0" w:color="000000"/>
              <w:left w:val="single" w:sz="12" w:space="0" w:color="000000"/>
              <w:bottom w:val="single" w:sz="4" w:space="0" w:color="000000"/>
              <w:right w:val="single" w:sz="12" w:space="0" w:color="000000"/>
            </w:tcBorders>
            <w:shd w:val="clear" w:color="auto" w:fill="E7E6E6"/>
          </w:tcPr>
          <w:p>
            <w:pPr>
              <w:pStyle w:val="TableParagraph"/>
              <w:spacing w:line="267" w:lineRule="exact"/>
              <w:ind w:left="107"/>
              <w:rPr>
                <w:b/>
                <w:sz w:val="22"/>
              </w:rPr>
            </w:pPr>
            <w:bookmarkStart w:name="_bookmark8" w:id="11"/>
            <w:bookmarkEnd w:id="11"/>
            <w:r>
              <w:rPr/>
            </w:r>
            <w:r>
              <w:rPr>
                <w:b/>
                <w:sz w:val="22"/>
              </w:rPr>
              <w:t>II.b Disease-specific IVDs for health care facilities with clinical laboratories</w:t>
            </w:r>
          </w:p>
        </w:tc>
      </w:tr>
      <w:tr>
        <w:trPr>
          <w:trHeight w:val="446" w:hRule="atLeast"/>
        </w:trPr>
        <w:tc>
          <w:tcPr>
            <w:tcW w:w="1124" w:type="dxa"/>
            <w:tcBorders>
              <w:top w:val="single" w:sz="4" w:space="0" w:color="000000"/>
              <w:left w:val="single" w:sz="12" w:space="0" w:color="000000"/>
              <w:bottom w:val="single" w:sz="4" w:space="0" w:color="000000"/>
            </w:tcBorders>
            <w:shd w:val="clear" w:color="auto" w:fill="E7E6E6"/>
          </w:tcPr>
          <w:p>
            <w:pPr>
              <w:pStyle w:val="TableParagraph"/>
              <w:rPr>
                <w:rFonts w:ascii="Times New Roman"/>
                <w:sz w:val="18"/>
              </w:rPr>
            </w:pPr>
          </w:p>
        </w:tc>
        <w:tc>
          <w:tcPr>
            <w:tcW w:w="1838" w:type="dxa"/>
            <w:tcBorders>
              <w:top w:val="single" w:sz="4" w:space="0" w:color="000000"/>
              <w:bottom w:val="single" w:sz="4" w:space="0" w:color="000000"/>
            </w:tcBorders>
            <w:shd w:val="clear" w:color="auto" w:fill="E7E6E6"/>
          </w:tcPr>
          <w:p>
            <w:pPr>
              <w:pStyle w:val="TableParagraph"/>
              <w:spacing w:before="1"/>
              <w:ind w:left="117"/>
              <w:rPr>
                <w:b/>
                <w:sz w:val="16"/>
              </w:rPr>
            </w:pPr>
            <w:r>
              <w:rPr>
                <w:b/>
                <w:sz w:val="16"/>
              </w:rPr>
              <w:t>Diagnostic test</w:t>
            </w:r>
          </w:p>
        </w:tc>
        <w:tc>
          <w:tcPr>
            <w:tcW w:w="2127" w:type="dxa"/>
            <w:tcBorders>
              <w:top w:val="single" w:sz="4" w:space="0" w:color="000000"/>
              <w:bottom w:val="single" w:sz="4" w:space="0" w:color="000000"/>
            </w:tcBorders>
            <w:shd w:val="clear" w:color="auto" w:fill="E7E6E6"/>
          </w:tcPr>
          <w:p>
            <w:pPr>
              <w:pStyle w:val="TableParagraph"/>
              <w:spacing w:before="1"/>
              <w:ind w:left="122"/>
              <w:rPr>
                <w:b/>
                <w:sz w:val="16"/>
              </w:rPr>
            </w:pPr>
            <w:r>
              <w:rPr>
                <w:b/>
                <w:sz w:val="16"/>
              </w:rPr>
              <w:t>Test purpose</w:t>
            </w:r>
          </w:p>
        </w:tc>
        <w:tc>
          <w:tcPr>
            <w:tcW w:w="1561" w:type="dxa"/>
            <w:tcBorders>
              <w:top w:val="single" w:sz="4" w:space="0" w:color="000000"/>
              <w:bottom w:val="single" w:sz="4" w:space="0" w:color="000000"/>
            </w:tcBorders>
            <w:shd w:val="clear" w:color="auto" w:fill="E7E6E6"/>
          </w:tcPr>
          <w:p>
            <w:pPr>
              <w:pStyle w:val="TableParagraph"/>
              <w:spacing w:before="1"/>
              <w:ind w:left="122"/>
              <w:rPr>
                <w:b/>
                <w:sz w:val="16"/>
              </w:rPr>
            </w:pPr>
            <w:r>
              <w:rPr>
                <w:b/>
                <w:sz w:val="16"/>
              </w:rPr>
              <w:t>Assay format</w:t>
            </w:r>
          </w:p>
        </w:tc>
        <w:tc>
          <w:tcPr>
            <w:tcW w:w="1842" w:type="dxa"/>
            <w:tcBorders>
              <w:top w:val="single" w:sz="4" w:space="0" w:color="000000"/>
              <w:bottom w:val="single" w:sz="4" w:space="0" w:color="000000"/>
            </w:tcBorders>
            <w:shd w:val="clear" w:color="auto" w:fill="E7E6E6"/>
          </w:tcPr>
          <w:p>
            <w:pPr>
              <w:pStyle w:val="TableParagraph"/>
              <w:spacing w:before="1"/>
              <w:ind w:left="121"/>
              <w:rPr>
                <w:b/>
                <w:sz w:val="16"/>
              </w:rPr>
            </w:pPr>
            <w:r>
              <w:rPr>
                <w:b/>
                <w:sz w:val="16"/>
              </w:rPr>
              <w:t>Specimen type</w:t>
            </w:r>
          </w:p>
        </w:tc>
        <w:tc>
          <w:tcPr>
            <w:tcW w:w="2549" w:type="dxa"/>
            <w:tcBorders>
              <w:top w:val="single" w:sz="4" w:space="0" w:color="000000"/>
              <w:bottom w:val="single" w:sz="4" w:space="0" w:color="000000"/>
            </w:tcBorders>
            <w:shd w:val="clear" w:color="auto" w:fill="E7E6E6"/>
          </w:tcPr>
          <w:p>
            <w:pPr>
              <w:pStyle w:val="TableParagraph"/>
              <w:spacing w:before="1"/>
              <w:ind w:left="122" w:right="367"/>
              <w:rPr>
                <w:b/>
                <w:sz w:val="16"/>
              </w:rPr>
            </w:pPr>
            <w:r>
              <w:rPr>
                <w:b/>
                <w:sz w:val="16"/>
              </w:rPr>
              <w:t>WHO prequalified or endorsed products</w:t>
            </w:r>
          </w:p>
        </w:tc>
        <w:tc>
          <w:tcPr>
            <w:tcW w:w="3387" w:type="dxa"/>
            <w:tcBorders>
              <w:top w:val="single" w:sz="4" w:space="0" w:color="000000"/>
              <w:bottom w:val="single" w:sz="4" w:space="0" w:color="000000"/>
              <w:right w:val="single" w:sz="12" w:space="0" w:color="000000"/>
            </w:tcBorders>
            <w:shd w:val="clear" w:color="auto" w:fill="E7E6E6"/>
          </w:tcPr>
          <w:p>
            <w:pPr>
              <w:pStyle w:val="TableParagraph"/>
              <w:spacing w:before="1"/>
              <w:ind w:left="125"/>
              <w:rPr>
                <w:b/>
                <w:sz w:val="16"/>
              </w:rPr>
            </w:pPr>
            <w:r>
              <w:rPr>
                <w:b/>
                <w:sz w:val="16"/>
              </w:rPr>
              <w:t>WHO supporting documents</w:t>
            </w:r>
          </w:p>
        </w:tc>
      </w:tr>
      <w:tr>
        <w:trPr>
          <w:trHeight w:val="1119" w:hRule="atLeast"/>
        </w:trPr>
        <w:tc>
          <w:tcPr>
            <w:tcW w:w="1124" w:type="dxa"/>
            <w:tcBorders>
              <w:top w:val="single" w:sz="4" w:space="0" w:color="000000"/>
              <w:left w:val="single" w:sz="12" w:space="0" w:color="000000"/>
            </w:tcBorders>
          </w:tcPr>
          <w:p>
            <w:pPr>
              <w:pStyle w:val="TableParagraph"/>
              <w:spacing w:line="219" w:lineRule="exact"/>
              <w:ind w:left="107"/>
              <w:rPr>
                <w:sz w:val="18"/>
              </w:rPr>
            </w:pPr>
            <w:r>
              <w:rPr>
                <w:sz w:val="18"/>
              </w:rPr>
              <w:t>Hepatitis B</w:t>
            </w:r>
          </w:p>
        </w:tc>
        <w:tc>
          <w:tcPr>
            <w:tcW w:w="1838" w:type="dxa"/>
            <w:tcBorders>
              <w:top w:val="single" w:sz="4" w:space="0" w:color="000000"/>
            </w:tcBorders>
          </w:tcPr>
          <w:p>
            <w:pPr>
              <w:pStyle w:val="TableParagraph"/>
              <w:ind w:left="117" w:right="331"/>
              <w:rPr>
                <w:sz w:val="18"/>
              </w:rPr>
            </w:pPr>
            <w:r>
              <w:rPr>
                <w:sz w:val="18"/>
              </w:rPr>
              <w:t>Hepatitis B surface antigen (HBsAg)</w:t>
            </w:r>
          </w:p>
        </w:tc>
        <w:tc>
          <w:tcPr>
            <w:tcW w:w="2127" w:type="dxa"/>
            <w:tcBorders>
              <w:top w:val="single" w:sz="4" w:space="0" w:color="000000"/>
            </w:tcBorders>
          </w:tcPr>
          <w:p>
            <w:pPr>
              <w:pStyle w:val="TableParagraph"/>
              <w:ind w:left="122" w:right="153"/>
              <w:rPr>
                <w:sz w:val="18"/>
              </w:rPr>
            </w:pPr>
            <w:r>
              <w:rPr>
                <w:sz w:val="18"/>
              </w:rPr>
              <w:t>Screening for acute and chronic hepatitis B (HBV) infection: infants over 12 months of age, children,</w:t>
            </w:r>
          </w:p>
          <w:p>
            <w:pPr>
              <w:pStyle w:val="TableParagraph"/>
              <w:tabs>
                <w:tab w:pos="122" w:val="left" w:leader="none"/>
                <w:tab w:pos="5540" w:val="left" w:leader="none"/>
              </w:tabs>
              <w:ind w:left="-1825" w:right="-3428"/>
              <w:rPr>
                <w:sz w:val="18"/>
              </w:rPr>
            </w:pPr>
            <w:r>
              <w:rPr>
                <w:sz w:val="18"/>
                <w:u w:val="single"/>
              </w:rPr>
              <w:t> </w:t>
              <w:tab/>
              <w:t>adolescents,</w:t>
            </w:r>
            <w:r>
              <w:rPr>
                <w:spacing w:val="-8"/>
                <w:sz w:val="18"/>
                <w:u w:val="single"/>
              </w:rPr>
              <w:t> </w:t>
            </w:r>
            <w:r>
              <w:rPr>
                <w:sz w:val="18"/>
                <w:u w:val="single"/>
              </w:rPr>
              <w:t>adults</w:t>
              <w:tab/>
            </w:r>
          </w:p>
        </w:tc>
        <w:tc>
          <w:tcPr>
            <w:tcW w:w="1561" w:type="dxa"/>
            <w:tcBorders>
              <w:top w:val="single" w:sz="4" w:space="0" w:color="000000"/>
            </w:tcBorders>
          </w:tcPr>
          <w:p>
            <w:pPr>
              <w:pStyle w:val="TableParagraph"/>
              <w:spacing w:line="219" w:lineRule="exact"/>
              <w:ind w:left="122"/>
              <w:rPr>
                <w:sz w:val="18"/>
              </w:rPr>
            </w:pPr>
            <w:r>
              <w:rPr>
                <w:sz w:val="18"/>
              </w:rPr>
              <w:t>RDT</w:t>
            </w:r>
          </w:p>
        </w:tc>
        <w:tc>
          <w:tcPr>
            <w:tcW w:w="1842" w:type="dxa"/>
            <w:tcBorders>
              <w:top w:val="single" w:sz="4" w:space="0" w:color="000000"/>
            </w:tcBorders>
          </w:tcPr>
          <w:p>
            <w:pPr>
              <w:pStyle w:val="TableParagraph"/>
              <w:ind w:left="121" w:right="204"/>
              <w:rPr>
                <w:sz w:val="18"/>
              </w:rPr>
            </w:pPr>
            <w:r>
              <w:rPr>
                <w:sz w:val="18"/>
              </w:rPr>
              <w:t>Venous whole blood Plasma</w:t>
            </w:r>
          </w:p>
          <w:p>
            <w:pPr>
              <w:pStyle w:val="TableParagraph"/>
              <w:spacing w:line="219" w:lineRule="exact"/>
              <w:ind w:left="121"/>
              <w:rPr>
                <w:sz w:val="18"/>
              </w:rPr>
            </w:pPr>
            <w:r>
              <w:rPr>
                <w:sz w:val="18"/>
              </w:rPr>
              <w:t>Serum</w:t>
            </w:r>
          </w:p>
        </w:tc>
        <w:tc>
          <w:tcPr>
            <w:tcW w:w="2549" w:type="dxa"/>
            <w:tcBorders>
              <w:top w:val="single" w:sz="4" w:space="0" w:color="000000"/>
            </w:tcBorders>
          </w:tcPr>
          <w:p>
            <w:pPr>
              <w:pStyle w:val="TableParagraph"/>
              <w:ind w:left="122" w:right="124"/>
              <w:rPr>
                <w:sz w:val="18"/>
              </w:rPr>
            </w:pPr>
            <w:hyperlink r:id="rId80">
              <w:r>
                <w:rPr>
                  <w:color w:val="0462C1"/>
                  <w:sz w:val="18"/>
                  <w:u w:val="single" w:color="0462C1"/>
                </w:rPr>
                <w:t>http://www.who.int/diagnostic</w:t>
              </w:r>
            </w:hyperlink>
            <w:r>
              <w:rPr>
                <w:color w:val="0462C1"/>
                <w:sz w:val="18"/>
              </w:rPr>
              <w:t> </w:t>
            </w:r>
            <w:hyperlink r:id="rId80">
              <w:r>
                <w:rPr>
                  <w:color w:val="0462C1"/>
                  <w:sz w:val="18"/>
                  <w:u w:val="single" w:color="0462C1"/>
                </w:rPr>
                <w:t>s_laboratory/evaluations/pq-</w:t>
              </w:r>
            </w:hyperlink>
            <w:r>
              <w:rPr>
                <w:color w:val="0462C1"/>
                <w:sz w:val="18"/>
              </w:rPr>
              <w:t> </w:t>
            </w:r>
            <w:hyperlink r:id="rId80">
              <w:r>
                <w:rPr>
                  <w:color w:val="0462C1"/>
                  <w:sz w:val="18"/>
                  <w:u w:val="single" w:color="0462C1"/>
                </w:rPr>
                <w:t>list/hbsag/public_report/en/</w:t>
              </w:r>
            </w:hyperlink>
          </w:p>
        </w:tc>
        <w:tc>
          <w:tcPr>
            <w:tcW w:w="3387" w:type="dxa"/>
            <w:tcBorders>
              <w:top w:val="single" w:sz="4" w:space="0" w:color="000000"/>
              <w:right w:val="single" w:sz="12" w:space="0" w:color="000000"/>
            </w:tcBorders>
          </w:tcPr>
          <w:p>
            <w:pPr>
              <w:pStyle w:val="TableParagraph"/>
              <w:ind w:left="125" w:right="94"/>
              <w:rPr>
                <w:sz w:val="18"/>
              </w:rPr>
            </w:pPr>
            <w:r>
              <w:rPr>
                <w:sz w:val="18"/>
              </w:rPr>
              <w:t>Guidelines on hepatitis B and C testing (February 2017) </w:t>
            </w:r>
            <w:hyperlink r:id="rId81">
              <w:r>
                <w:rPr>
                  <w:color w:val="0462C1"/>
                  <w:sz w:val="18"/>
                  <w:u w:val="single" w:color="0462C1"/>
                </w:rPr>
                <w:t>http://apps.who.int/iris/bitstream/handle/</w:t>
              </w:r>
            </w:hyperlink>
            <w:r>
              <w:rPr>
                <w:color w:val="0462C1"/>
                <w:sz w:val="18"/>
              </w:rPr>
              <w:t> </w:t>
            </w:r>
            <w:hyperlink r:id="rId81">
              <w:r>
                <w:rPr>
                  <w:color w:val="0462C1"/>
                  <w:sz w:val="18"/>
                  <w:u w:val="single" w:color="0462C1"/>
                </w:rPr>
                <w:t>10665/254621/9789241549981-</w:t>
              </w:r>
            </w:hyperlink>
          </w:p>
          <w:p>
            <w:pPr>
              <w:pStyle w:val="TableParagraph"/>
              <w:ind w:left="125"/>
              <w:rPr>
                <w:sz w:val="18"/>
              </w:rPr>
            </w:pPr>
            <w:hyperlink r:id="rId81">
              <w:r>
                <w:rPr>
                  <w:color w:val="0462C1"/>
                  <w:sz w:val="18"/>
                  <w:u w:val="single" w:color="0462C1"/>
                </w:rPr>
                <w:t>eng.pdf?sequence=1</w:t>
              </w:r>
            </w:hyperlink>
          </w:p>
        </w:tc>
      </w:tr>
      <w:tr>
        <w:trPr>
          <w:trHeight w:val="1124" w:hRule="atLeast"/>
        </w:trPr>
        <w:tc>
          <w:tcPr>
            <w:tcW w:w="1124" w:type="dxa"/>
            <w:tcBorders>
              <w:left w:val="single" w:sz="12" w:space="0" w:color="000000"/>
            </w:tcBorders>
          </w:tcPr>
          <w:p>
            <w:pPr>
              <w:pStyle w:val="TableParagraph"/>
              <w:rPr>
                <w:rFonts w:ascii="Times New Roman"/>
                <w:sz w:val="18"/>
              </w:rPr>
            </w:pPr>
          </w:p>
        </w:tc>
        <w:tc>
          <w:tcPr>
            <w:tcW w:w="1838" w:type="dxa"/>
            <w:tcBorders>
              <w:bottom w:val="single" w:sz="4" w:space="0" w:color="000000"/>
            </w:tcBorders>
          </w:tcPr>
          <w:p>
            <w:pPr>
              <w:pStyle w:val="TableParagraph"/>
              <w:spacing w:line="209" w:lineRule="exact"/>
              <w:ind w:left="117"/>
              <w:rPr>
                <w:sz w:val="18"/>
              </w:rPr>
            </w:pPr>
            <w:r>
              <w:rPr>
                <w:sz w:val="18"/>
              </w:rPr>
              <w:t>Virological</w:t>
            </w:r>
          </w:p>
          <w:p>
            <w:pPr>
              <w:pStyle w:val="TableParagraph"/>
              <w:spacing w:line="219" w:lineRule="exact" w:before="1"/>
              <w:ind w:left="117"/>
              <w:rPr>
                <w:sz w:val="18"/>
              </w:rPr>
            </w:pPr>
            <w:r>
              <w:rPr>
                <w:sz w:val="18"/>
              </w:rPr>
              <w:t>(HBV DNA –</w:t>
            </w:r>
          </w:p>
          <w:p>
            <w:pPr>
              <w:pStyle w:val="TableParagraph"/>
              <w:spacing w:line="219" w:lineRule="exact"/>
              <w:ind w:left="117"/>
              <w:rPr>
                <w:sz w:val="18"/>
              </w:rPr>
            </w:pPr>
            <w:r>
              <w:rPr>
                <w:sz w:val="18"/>
              </w:rPr>
              <w:t>quantitative)</w:t>
            </w:r>
          </w:p>
        </w:tc>
        <w:tc>
          <w:tcPr>
            <w:tcW w:w="2127" w:type="dxa"/>
            <w:tcBorders>
              <w:bottom w:val="single" w:sz="4" w:space="0" w:color="000000"/>
            </w:tcBorders>
          </w:tcPr>
          <w:p>
            <w:pPr>
              <w:pStyle w:val="TableParagraph"/>
              <w:spacing w:line="209" w:lineRule="exact"/>
              <w:ind w:left="122"/>
              <w:rPr>
                <w:sz w:val="18"/>
              </w:rPr>
            </w:pPr>
            <w:r>
              <w:rPr>
                <w:sz w:val="18"/>
              </w:rPr>
              <w:t>Staging to assess the</w:t>
            </w:r>
          </w:p>
          <w:p>
            <w:pPr>
              <w:pStyle w:val="TableParagraph"/>
              <w:spacing w:before="1"/>
              <w:ind w:left="122" w:right="153"/>
              <w:rPr>
                <w:sz w:val="18"/>
              </w:rPr>
            </w:pPr>
            <w:r>
              <w:rPr>
                <w:sz w:val="18"/>
              </w:rPr>
              <w:t>need for HBV treatment in chronic HBV infection and monitoring of response to treatment</w:t>
            </w:r>
          </w:p>
        </w:tc>
        <w:tc>
          <w:tcPr>
            <w:tcW w:w="1561" w:type="dxa"/>
            <w:tcBorders>
              <w:bottom w:val="single" w:sz="4" w:space="0" w:color="000000"/>
            </w:tcBorders>
          </w:tcPr>
          <w:p>
            <w:pPr>
              <w:pStyle w:val="TableParagraph"/>
              <w:spacing w:line="209" w:lineRule="exact"/>
              <w:ind w:left="122"/>
              <w:rPr>
                <w:sz w:val="18"/>
              </w:rPr>
            </w:pPr>
            <w:r>
              <w:rPr>
                <w:sz w:val="18"/>
              </w:rPr>
              <w:t>NAT</w:t>
            </w:r>
          </w:p>
        </w:tc>
        <w:tc>
          <w:tcPr>
            <w:tcW w:w="1842" w:type="dxa"/>
            <w:tcBorders>
              <w:bottom w:val="single" w:sz="4" w:space="0" w:color="000000"/>
            </w:tcBorders>
          </w:tcPr>
          <w:p>
            <w:pPr>
              <w:pStyle w:val="TableParagraph"/>
              <w:spacing w:line="209" w:lineRule="exact"/>
              <w:ind w:left="121"/>
              <w:rPr>
                <w:sz w:val="18"/>
              </w:rPr>
            </w:pPr>
            <w:r>
              <w:rPr>
                <w:sz w:val="18"/>
              </w:rPr>
              <w:t>Serum</w:t>
            </w:r>
          </w:p>
          <w:p>
            <w:pPr>
              <w:pStyle w:val="TableParagraph"/>
              <w:spacing w:before="1"/>
              <w:ind w:left="121"/>
              <w:rPr>
                <w:sz w:val="18"/>
              </w:rPr>
            </w:pPr>
            <w:r>
              <w:rPr>
                <w:sz w:val="18"/>
              </w:rPr>
              <w:t>Plasma</w:t>
            </w:r>
          </w:p>
        </w:tc>
        <w:tc>
          <w:tcPr>
            <w:tcW w:w="2549" w:type="dxa"/>
            <w:tcBorders>
              <w:bottom w:val="single" w:sz="4" w:space="0" w:color="000000"/>
            </w:tcBorders>
          </w:tcPr>
          <w:p>
            <w:pPr>
              <w:pStyle w:val="TableParagraph"/>
              <w:rPr>
                <w:rFonts w:ascii="Times New Roman"/>
                <w:sz w:val="18"/>
              </w:rPr>
            </w:pPr>
          </w:p>
        </w:tc>
        <w:tc>
          <w:tcPr>
            <w:tcW w:w="3387" w:type="dxa"/>
            <w:tcBorders>
              <w:right w:val="single" w:sz="12" w:space="0" w:color="000000"/>
            </w:tcBorders>
          </w:tcPr>
          <w:p>
            <w:pPr>
              <w:pStyle w:val="TableParagraph"/>
              <w:rPr>
                <w:rFonts w:ascii="Times New Roman"/>
                <w:sz w:val="18"/>
              </w:rPr>
            </w:pPr>
          </w:p>
        </w:tc>
      </w:tr>
      <w:tr>
        <w:trPr>
          <w:trHeight w:val="638" w:hRule="atLeast"/>
        </w:trPr>
        <w:tc>
          <w:tcPr>
            <w:tcW w:w="1124" w:type="dxa"/>
            <w:tcBorders>
              <w:left w:val="single" w:sz="12" w:space="0" w:color="000000"/>
            </w:tcBorders>
          </w:tcPr>
          <w:p>
            <w:pPr>
              <w:pStyle w:val="TableParagraph"/>
              <w:rPr>
                <w:rFonts w:ascii="Times New Roman"/>
                <w:sz w:val="18"/>
              </w:rPr>
            </w:pPr>
          </w:p>
        </w:tc>
        <w:tc>
          <w:tcPr>
            <w:tcW w:w="1838" w:type="dxa"/>
            <w:tcBorders>
              <w:top w:val="single" w:sz="4" w:space="0" w:color="000000"/>
            </w:tcBorders>
          </w:tcPr>
          <w:p>
            <w:pPr>
              <w:pStyle w:val="TableParagraph"/>
              <w:ind w:left="117" w:right="184"/>
              <w:rPr>
                <w:sz w:val="18"/>
              </w:rPr>
            </w:pPr>
            <w:r>
              <w:rPr>
                <w:sz w:val="18"/>
              </w:rPr>
              <w:t>Hepatitis B e antigen (HBeAg)</w:t>
            </w:r>
          </w:p>
        </w:tc>
        <w:tc>
          <w:tcPr>
            <w:tcW w:w="2127" w:type="dxa"/>
            <w:tcBorders>
              <w:top w:val="single" w:sz="4" w:space="0" w:color="000000"/>
            </w:tcBorders>
          </w:tcPr>
          <w:p>
            <w:pPr>
              <w:pStyle w:val="TableParagraph"/>
              <w:ind w:left="122" w:right="153"/>
              <w:rPr>
                <w:sz w:val="18"/>
              </w:rPr>
            </w:pPr>
            <w:r>
              <w:rPr>
                <w:sz w:val="18"/>
              </w:rPr>
              <w:t>Staging to assess the need for HBV</w:t>
            </w:r>
            <w:r>
              <w:rPr>
                <w:spacing w:val="5"/>
                <w:sz w:val="18"/>
              </w:rPr>
              <w:t> </w:t>
            </w:r>
            <w:r>
              <w:rPr>
                <w:spacing w:val="-3"/>
                <w:sz w:val="18"/>
              </w:rPr>
              <w:t>treatment</w:t>
            </w:r>
          </w:p>
          <w:p>
            <w:pPr>
              <w:pStyle w:val="TableParagraph"/>
              <w:spacing w:line="180" w:lineRule="exact"/>
              <w:ind w:left="122"/>
              <w:rPr>
                <w:sz w:val="18"/>
              </w:rPr>
            </w:pPr>
            <w:r>
              <w:rPr>
                <w:sz w:val="18"/>
              </w:rPr>
              <w:t>in chronic HBV</w:t>
            </w:r>
            <w:r>
              <w:rPr>
                <w:spacing w:val="-10"/>
                <w:sz w:val="18"/>
              </w:rPr>
              <w:t> </w:t>
            </w:r>
            <w:r>
              <w:rPr>
                <w:sz w:val="18"/>
              </w:rPr>
              <w:t>infection</w:t>
            </w:r>
          </w:p>
        </w:tc>
        <w:tc>
          <w:tcPr>
            <w:tcW w:w="1561" w:type="dxa"/>
            <w:tcBorders>
              <w:top w:val="single" w:sz="4" w:space="0" w:color="000000"/>
            </w:tcBorders>
          </w:tcPr>
          <w:p>
            <w:pPr>
              <w:pStyle w:val="TableParagraph"/>
              <w:spacing w:line="219" w:lineRule="exact"/>
              <w:ind w:left="122"/>
              <w:rPr>
                <w:sz w:val="18"/>
              </w:rPr>
            </w:pPr>
            <w:r>
              <w:rPr>
                <w:sz w:val="18"/>
              </w:rPr>
              <w:t>EIA</w:t>
            </w:r>
          </w:p>
        </w:tc>
        <w:tc>
          <w:tcPr>
            <w:tcW w:w="1842" w:type="dxa"/>
            <w:tcBorders>
              <w:top w:val="single" w:sz="4" w:space="0" w:color="000000"/>
            </w:tcBorders>
          </w:tcPr>
          <w:p>
            <w:pPr>
              <w:pStyle w:val="TableParagraph"/>
              <w:ind w:left="121" w:right="1180"/>
              <w:rPr>
                <w:sz w:val="18"/>
              </w:rPr>
            </w:pPr>
            <w:r>
              <w:rPr>
                <w:sz w:val="18"/>
              </w:rPr>
              <w:t>Serum Plasma</w:t>
            </w:r>
          </w:p>
        </w:tc>
        <w:tc>
          <w:tcPr>
            <w:tcW w:w="2549" w:type="dxa"/>
            <w:tcBorders>
              <w:top w:val="single" w:sz="4" w:space="0" w:color="000000"/>
            </w:tcBorders>
          </w:tcPr>
          <w:p>
            <w:pPr>
              <w:pStyle w:val="TableParagraph"/>
              <w:spacing w:line="219" w:lineRule="exact"/>
              <w:ind w:left="122"/>
              <w:rPr>
                <w:sz w:val="18"/>
              </w:rPr>
            </w:pPr>
            <w:r>
              <w:rPr>
                <w:sz w:val="18"/>
              </w:rPr>
              <w:t>N/A</w:t>
            </w:r>
          </w:p>
        </w:tc>
        <w:tc>
          <w:tcPr>
            <w:tcW w:w="3387" w:type="dxa"/>
            <w:tcBorders>
              <w:right w:val="single" w:sz="12" w:space="0" w:color="000000"/>
            </w:tcBorders>
          </w:tcPr>
          <w:p>
            <w:pPr>
              <w:pStyle w:val="TableParagraph"/>
              <w:rPr>
                <w:rFonts w:ascii="Times New Roman"/>
                <w:sz w:val="18"/>
              </w:rPr>
            </w:pPr>
          </w:p>
        </w:tc>
      </w:tr>
      <w:tr>
        <w:trPr>
          <w:trHeight w:val="508" w:hRule="atLeast"/>
        </w:trPr>
        <w:tc>
          <w:tcPr>
            <w:tcW w:w="1124" w:type="dxa"/>
            <w:tcBorders>
              <w:left w:val="single" w:sz="12" w:space="0" w:color="000000"/>
            </w:tcBorders>
          </w:tcPr>
          <w:p>
            <w:pPr>
              <w:pStyle w:val="TableParagraph"/>
              <w:rPr>
                <w:rFonts w:ascii="Times New Roman"/>
                <w:sz w:val="18"/>
              </w:rPr>
            </w:pPr>
          </w:p>
        </w:tc>
        <w:tc>
          <w:tcPr>
            <w:tcW w:w="1838" w:type="dxa"/>
            <w:tcBorders>
              <w:bottom w:val="single" w:sz="4" w:space="0" w:color="000000"/>
            </w:tcBorders>
          </w:tcPr>
          <w:p>
            <w:pPr>
              <w:pStyle w:val="TableParagraph"/>
              <w:rPr>
                <w:rFonts w:ascii="Times New Roman"/>
                <w:sz w:val="18"/>
              </w:rPr>
            </w:pPr>
          </w:p>
        </w:tc>
        <w:tc>
          <w:tcPr>
            <w:tcW w:w="2127" w:type="dxa"/>
            <w:tcBorders>
              <w:bottom w:val="single" w:sz="4" w:space="0" w:color="000000"/>
            </w:tcBorders>
          </w:tcPr>
          <w:p>
            <w:pPr>
              <w:pStyle w:val="TableParagraph"/>
              <w:rPr>
                <w:rFonts w:ascii="Times New Roman"/>
                <w:sz w:val="18"/>
              </w:rPr>
            </w:pPr>
          </w:p>
        </w:tc>
        <w:tc>
          <w:tcPr>
            <w:tcW w:w="1561" w:type="dxa"/>
            <w:tcBorders>
              <w:bottom w:val="single" w:sz="4" w:space="0" w:color="000000"/>
            </w:tcBorders>
          </w:tcPr>
          <w:p>
            <w:pPr>
              <w:pStyle w:val="TableParagraph"/>
              <w:spacing w:line="178" w:lineRule="exact"/>
              <w:ind w:left="122"/>
              <w:rPr>
                <w:sz w:val="18"/>
              </w:rPr>
            </w:pPr>
            <w:r>
              <w:rPr>
                <w:sz w:val="18"/>
              </w:rPr>
              <w:t>CLIA</w:t>
            </w:r>
          </w:p>
        </w:tc>
        <w:tc>
          <w:tcPr>
            <w:tcW w:w="1842" w:type="dxa"/>
            <w:tcBorders>
              <w:bottom w:val="single" w:sz="4" w:space="0" w:color="000000"/>
            </w:tcBorders>
          </w:tcPr>
          <w:p>
            <w:pPr>
              <w:pStyle w:val="TableParagraph"/>
              <w:spacing w:line="178" w:lineRule="exact"/>
              <w:ind w:left="121"/>
              <w:rPr>
                <w:sz w:val="18"/>
              </w:rPr>
            </w:pPr>
            <w:r>
              <w:rPr>
                <w:sz w:val="18"/>
              </w:rPr>
              <w:t>Serum</w:t>
            </w:r>
          </w:p>
          <w:p>
            <w:pPr>
              <w:pStyle w:val="TableParagraph"/>
              <w:spacing w:before="1"/>
              <w:ind w:left="121"/>
              <w:rPr>
                <w:sz w:val="18"/>
              </w:rPr>
            </w:pPr>
            <w:r>
              <w:rPr>
                <w:sz w:val="18"/>
              </w:rPr>
              <w:t>Plasma</w:t>
            </w:r>
          </w:p>
        </w:tc>
        <w:tc>
          <w:tcPr>
            <w:tcW w:w="2549" w:type="dxa"/>
            <w:tcBorders>
              <w:bottom w:val="single" w:sz="4" w:space="0" w:color="000000"/>
            </w:tcBorders>
          </w:tcPr>
          <w:p>
            <w:pPr>
              <w:pStyle w:val="TableParagraph"/>
              <w:spacing w:line="178" w:lineRule="exact"/>
              <w:ind w:left="122"/>
              <w:rPr>
                <w:sz w:val="18"/>
              </w:rPr>
            </w:pPr>
            <w:r>
              <w:rPr>
                <w:sz w:val="18"/>
              </w:rPr>
              <w:t>N/A</w:t>
            </w:r>
          </w:p>
        </w:tc>
        <w:tc>
          <w:tcPr>
            <w:tcW w:w="3387" w:type="dxa"/>
            <w:tcBorders>
              <w:right w:val="single" w:sz="12" w:space="0" w:color="000000"/>
            </w:tcBorders>
          </w:tcPr>
          <w:p>
            <w:pPr>
              <w:pStyle w:val="TableParagraph"/>
              <w:rPr>
                <w:rFonts w:ascii="Times New Roman"/>
                <w:sz w:val="18"/>
              </w:rPr>
            </w:pPr>
          </w:p>
        </w:tc>
      </w:tr>
      <w:tr>
        <w:trPr>
          <w:trHeight w:val="507" w:hRule="atLeast"/>
        </w:trPr>
        <w:tc>
          <w:tcPr>
            <w:tcW w:w="1124" w:type="dxa"/>
            <w:tcBorders>
              <w:left w:val="single" w:sz="12" w:space="0" w:color="000000"/>
            </w:tcBorders>
          </w:tcPr>
          <w:p>
            <w:pPr>
              <w:pStyle w:val="TableParagraph"/>
              <w:rPr>
                <w:rFonts w:ascii="Times New Roman"/>
                <w:sz w:val="18"/>
              </w:rPr>
            </w:pPr>
          </w:p>
        </w:tc>
        <w:tc>
          <w:tcPr>
            <w:tcW w:w="1838" w:type="dxa"/>
            <w:vMerge w:val="restart"/>
            <w:tcBorders>
              <w:top w:val="single" w:sz="4" w:space="0" w:color="000000"/>
              <w:bottom w:val="single" w:sz="4" w:space="0" w:color="000000"/>
            </w:tcBorders>
          </w:tcPr>
          <w:p>
            <w:pPr>
              <w:pStyle w:val="TableParagraph"/>
              <w:ind w:left="117" w:right="331"/>
              <w:rPr>
                <w:sz w:val="18"/>
              </w:rPr>
            </w:pPr>
            <w:r>
              <w:rPr>
                <w:sz w:val="18"/>
              </w:rPr>
              <w:t>IgM-specific antibodies to hepatitis B core antigen (IgM anti- HBc)</w:t>
            </w:r>
          </w:p>
        </w:tc>
        <w:tc>
          <w:tcPr>
            <w:tcW w:w="2127" w:type="dxa"/>
            <w:vMerge w:val="restart"/>
            <w:tcBorders>
              <w:top w:val="single" w:sz="4" w:space="0" w:color="000000"/>
              <w:bottom w:val="single" w:sz="4" w:space="0" w:color="000000"/>
            </w:tcBorders>
          </w:tcPr>
          <w:p>
            <w:pPr>
              <w:pStyle w:val="TableParagraph"/>
              <w:ind w:left="122" w:right="102"/>
              <w:rPr>
                <w:sz w:val="18"/>
              </w:rPr>
            </w:pPr>
            <w:r>
              <w:rPr>
                <w:sz w:val="18"/>
              </w:rPr>
              <w:t>For the diagnosis of acute HBV infection – used for outbreak investigation</w:t>
            </w:r>
          </w:p>
        </w:tc>
        <w:tc>
          <w:tcPr>
            <w:tcW w:w="1561" w:type="dxa"/>
            <w:tcBorders>
              <w:top w:val="single" w:sz="4" w:space="0" w:color="000000"/>
            </w:tcBorders>
          </w:tcPr>
          <w:p>
            <w:pPr>
              <w:pStyle w:val="TableParagraph"/>
              <w:ind w:left="122" w:right="240"/>
              <w:rPr>
                <w:sz w:val="18"/>
              </w:rPr>
            </w:pPr>
            <w:r>
              <w:rPr>
                <w:sz w:val="18"/>
              </w:rPr>
              <w:t>EIA (microplate) Manual method</w:t>
            </w:r>
          </w:p>
        </w:tc>
        <w:tc>
          <w:tcPr>
            <w:tcW w:w="1842" w:type="dxa"/>
            <w:tcBorders>
              <w:top w:val="single" w:sz="4" w:space="0" w:color="000000"/>
            </w:tcBorders>
          </w:tcPr>
          <w:p>
            <w:pPr>
              <w:pStyle w:val="TableParagraph"/>
              <w:ind w:left="121" w:right="1180"/>
              <w:rPr>
                <w:sz w:val="18"/>
              </w:rPr>
            </w:pPr>
            <w:r>
              <w:rPr>
                <w:sz w:val="18"/>
              </w:rPr>
              <w:t>Serum Plasma</w:t>
            </w:r>
          </w:p>
        </w:tc>
        <w:tc>
          <w:tcPr>
            <w:tcW w:w="2549" w:type="dxa"/>
            <w:tcBorders>
              <w:top w:val="single" w:sz="4" w:space="0" w:color="000000"/>
            </w:tcBorders>
          </w:tcPr>
          <w:p>
            <w:pPr>
              <w:pStyle w:val="TableParagraph"/>
              <w:spacing w:line="219" w:lineRule="exact"/>
              <w:ind w:left="122"/>
              <w:rPr>
                <w:sz w:val="18"/>
              </w:rPr>
            </w:pPr>
            <w:r>
              <w:rPr>
                <w:sz w:val="18"/>
              </w:rPr>
              <w:t>N/A</w:t>
            </w:r>
          </w:p>
        </w:tc>
        <w:tc>
          <w:tcPr>
            <w:tcW w:w="3387" w:type="dxa"/>
            <w:tcBorders>
              <w:right w:val="single" w:sz="12" w:space="0" w:color="000000"/>
            </w:tcBorders>
          </w:tcPr>
          <w:p>
            <w:pPr>
              <w:pStyle w:val="TableParagraph"/>
              <w:rPr>
                <w:rFonts w:ascii="Times New Roman"/>
                <w:sz w:val="18"/>
              </w:rPr>
            </w:pPr>
          </w:p>
        </w:tc>
      </w:tr>
      <w:tr>
        <w:trPr>
          <w:trHeight w:val="909" w:hRule="atLeast"/>
        </w:trPr>
        <w:tc>
          <w:tcPr>
            <w:tcW w:w="1124" w:type="dxa"/>
            <w:tcBorders>
              <w:left w:val="single" w:sz="12" w:space="0" w:color="000000"/>
            </w:tcBorders>
          </w:tcPr>
          <w:p>
            <w:pPr>
              <w:pStyle w:val="TableParagraph"/>
              <w:rPr>
                <w:rFonts w:ascii="Times New Roman"/>
                <w:sz w:val="18"/>
              </w:rPr>
            </w:pPr>
          </w:p>
        </w:tc>
        <w:tc>
          <w:tcPr>
            <w:tcW w:w="1838" w:type="dxa"/>
            <w:vMerge/>
            <w:tcBorders>
              <w:top w:val="nil"/>
              <w:bottom w:val="single" w:sz="4" w:space="0" w:color="000000"/>
            </w:tcBorders>
          </w:tcPr>
          <w:p>
            <w:pPr>
              <w:rPr>
                <w:sz w:val="2"/>
                <w:szCs w:val="2"/>
              </w:rPr>
            </w:pPr>
          </w:p>
        </w:tc>
        <w:tc>
          <w:tcPr>
            <w:tcW w:w="2127" w:type="dxa"/>
            <w:vMerge/>
            <w:tcBorders>
              <w:top w:val="nil"/>
              <w:bottom w:val="single" w:sz="4" w:space="0" w:color="000000"/>
            </w:tcBorders>
          </w:tcPr>
          <w:p>
            <w:pPr>
              <w:rPr>
                <w:sz w:val="2"/>
                <w:szCs w:val="2"/>
              </w:rPr>
            </w:pPr>
          </w:p>
        </w:tc>
        <w:tc>
          <w:tcPr>
            <w:tcW w:w="1561" w:type="dxa"/>
            <w:tcBorders>
              <w:bottom w:val="single" w:sz="4" w:space="0" w:color="000000"/>
            </w:tcBorders>
          </w:tcPr>
          <w:p>
            <w:pPr>
              <w:pStyle w:val="TableParagraph"/>
              <w:spacing w:before="38"/>
              <w:ind w:left="122"/>
              <w:rPr>
                <w:sz w:val="18"/>
              </w:rPr>
            </w:pPr>
            <w:r>
              <w:rPr>
                <w:sz w:val="18"/>
              </w:rPr>
              <w:t>CLIA/ECL</w:t>
            </w:r>
          </w:p>
          <w:p>
            <w:pPr>
              <w:pStyle w:val="TableParagraph"/>
              <w:spacing w:before="1"/>
              <w:ind w:left="122" w:right="552"/>
              <w:rPr>
                <w:sz w:val="18"/>
              </w:rPr>
            </w:pPr>
            <w:r>
              <w:rPr>
                <w:sz w:val="18"/>
              </w:rPr>
              <w:t>(automated instrument)</w:t>
            </w:r>
          </w:p>
        </w:tc>
        <w:tc>
          <w:tcPr>
            <w:tcW w:w="1842" w:type="dxa"/>
            <w:tcBorders>
              <w:bottom w:val="single" w:sz="4" w:space="0" w:color="000000"/>
            </w:tcBorders>
          </w:tcPr>
          <w:p>
            <w:pPr>
              <w:pStyle w:val="TableParagraph"/>
              <w:spacing w:before="38"/>
              <w:ind w:left="121" w:right="1180"/>
              <w:rPr>
                <w:sz w:val="18"/>
              </w:rPr>
            </w:pPr>
            <w:r>
              <w:rPr>
                <w:sz w:val="18"/>
              </w:rPr>
              <w:t>Serum Plasma</w:t>
            </w:r>
          </w:p>
        </w:tc>
        <w:tc>
          <w:tcPr>
            <w:tcW w:w="2549" w:type="dxa"/>
            <w:tcBorders>
              <w:bottom w:val="single" w:sz="4" w:space="0" w:color="000000"/>
            </w:tcBorders>
          </w:tcPr>
          <w:p>
            <w:pPr>
              <w:pStyle w:val="TableParagraph"/>
              <w:spacing w:before="38"/>
              <w:ind w:left="122"/>
              <w:rPr>
                <w:sz w:val="18"/>
              </w:rPr>
            </w:pPr>
            <w:r>
              <w:rPr>
                <w:sz w:val="18"/>
              </w:rPr>
              <w:t>N/A</w:t>
            </w:r>
          </w:p>
        </w:tc>
        <w:tc>
          <w:tcPr>
            <w:tcW w:w="3387" w:type="dxa"/>
            <w:tcBorders>
              <w:right w:val="single" w:sz="12" w:space="0" w:color="000000"/>
            </w:tcBorders>
          </w:tcPr>
          <w:p>
            <w:pPr>
              <w:pStyle w:val="TableParagraph"/>
              <w:rPr>
                <w:rFonts w:ascii="Times New Roman"/>
                <w:sz w:val="18"/>
              </w:rPr>
            </w:pPr>
          </w:p>
        </w:tc>
      </w:tr>
      <w:tr>
        <w:trPr>
          <w:trHeight w:val="770" w:hRule="atLeast"/>
        </w:trPr>
        <w:tc>
          <w:tcPr>
            <w:tcW w:w="1124" w:type="dxa"/>
            <w:tcBorders>
              <w:left w:val="single" w:sz="12" w:space="0" w:color="000000"/>
            </w:tcBorders>
          </w:tcPr>
          <w:p>
            <w:pPr>
              <w:pStyle w:val="TableParagraph"/>
              <w:rPr>
                <w:rFonts w:ascii="Times New Roman"/>
                <w:sz w:val="18"/>
              </w:rPr>
            </w:pPr>
          </w:p>
        </w:tc>
        <w:tc>
          <w:tcPr>
            <w:tcW w:w="1838" w:type="dxa"/>
            <w:tcBorders>
              <w:top w:val="single" w:sz="4" w:space="0" w:color="000000"/>
            </w:tcBorders>
          </w:tcPr>
          <w:p>
            <w:pPr>
              <w:pStyle w:val="TableParagraph"/>
              <w:ind w:left="117" w:right="348"/>
              <w:rPr>
                <w:sz w:val="18"/>
              </w:rPr>
            </w:pPr>
            <w:r>
              <w:rPr>
                <w:sz w:val="18"/>
              </w:rPr>
              <w:t>Antibodies to hepatitis B surface antigen (anti-HBs)</w:t>
            </w:r>
          </w:p>
        </w:tc>
        <w:tc>
          <w:tcPr>
            <w:tcW w:w="2127" w:type="dxa"/>
            <w:vMerge w:val="restart"/>
            <w:tcBorders>
              <w:top w:val="single" w:sz="4" w:space="0" w:color="000000"/>
              <w:bottom w:val="single" w:sz="12" w:space="0" w:color="000000"/>
            </w:tcBorders>
          </w:tcPr>
          <w:p>
            <w:pPr>
              <w:pStyle w:val="TableParagraph"/>
              <w:ind w:left="122" w:right="139"/>
              <w:rPr>
                <w:sz w:val="18"/>
              </w:rPr>
            </w:pPr>
            <w:r>
              <w:rPr>
                <w:sz w:val="18"/>
              </w:rPr>
              <w:t>Determining effectiveness of HBV immunization at patient and at a population level Also used as a marker for recovery from HBV infection</w:t>
            </w:r>
          </w:p>
        </w:tc>
        <w:tc>
          <w:tcPr>
            <w:tcW w:w="1561" w:type="dxa"/>
            <w:tcBorders>
              <w:top w:val="single" w:sz="4" w:space="0" w:color="000000"/>
            </w:tcBorders>
          </w:tcPr>
          <w:p>
            <w:pPr>
              <w:pStyle w:val="TableParagraph"/>
              <w:ind w:left="122" w:right="240"/>
              <w:rPr>
                <w:sz w:val="18"/>
              </w:rPr>
            </w:pPr>
            <w:r>
              <w:rPr>
                <w:sz w:val="18"/>
              </w:rPr>
              <w:t>EIA (microplate) Manual method</w:t>
            </w:r>
          </w:p>
        </w:tc>
        <w:tc>
          <w:tcPr>
            <w:tcW w:w="1842" w:type="dxa"/>
            <w:tcBorders>
              <w:top w:val="single" w:sz="4" w:space="0" w:color="000000"/>
            </w:tcBorders>
          </w:tcPr>
          <w:p>
            <w:pPr>
              <w:pStyle w:val="TableParagraph"/>
              <w:ind w:left="121" w:right="1180"/>
              <w:rPr>
                <w:sz w:val="18"/>
              </w:rPr>
            </w:pPr>
            <w:r>
              <w:rPr>
                <w:sz w:val="18"/>
              </w:rPr>
              <w:t>Serum Plasma</w:t>
            </w:r>
          </w:p>
        </w:tc>
        <w:tc>
          <w:tcPr>
            <w:tcW w:w="2549" w:type="dxa"/>
            <w:tcBorders>
              <w:top w:val="single" w:sz="4" w:space="0" w:color="000000"/>
            </w:tcBorders>
          </w:tcPr>
          <w:p>
            <w:pPr>
              <w:pStyle w:val="TableParagraph"/>
              <w:spacing w:line="219" w:lineRule="exact"/>
              <w:ind w:left="122"/>
              <w:rPr>
                <w:sz w:val="18"/>
              </w:rPr>
            </w:pPr>
            <w:r>
              <w:rPr>
                <w:sz w:val="18"/>
              </w:rPr>
              <w:t>N/A</w:t>
            </w:r>
          </w:p>
        </w:tc>
        <w:tc>
          <w:tcPr>
            <w:tcW w:w="3387" w:type="dxa"/>
            <w:tcBorders>
              <w:right w:val="single" w:sz="12" w:space="0" w:color="000000"/>
            </w:tcBorders>
          </w:tcPr>
          <w:p>
            <w:pPr>
              <w:pStyle w:val="TableParagraph"/>
              <w:rPr>
                <w:rFonts w:ascii="Times New Roman"/>
                <w:sz w:val="18"/>
              </w:rPr>
            </w:pPr>
          </w:p>
        </w:tc>
      </w:tr>
      <w:tr>
        <w:trPr>
          <w:trHeight w:val="862" w:hRule="atLeast"/>
        </w:trPr>
        <w:tc>
          <w:tcPr>
            <w:tcW w:w="1124" w:type="dxa"/>
            <w:tcBorders>
              <w:left w:val="single" w:sz="12" w:space="0" w:color="000000"/>
              <w:bottom w:val="single" w:sz="12" w:space="0" w:color="000000"/>
            </w:tcBorders>
          </w:tcPr>
          <w:p>
            <w:pPr>
              <w:pStyle w:val="TableParagraph"/>
              <w:rPr>
                <w:rFonts w:ascii="Times New Roman"/>
                <w:sz w:val="18"/>
              </w:rPr>
            </w:pPr>
          </w:p>
        </w:tc>
        <w:tc>
          <w:tcPr>
            <w:tcW w:w="1838" w:type="dxa"/>
            <w:tcBorders>
              <w:bottom w:val="single" w:sz="12" w:space="0" w:color="000000"/>
            </w:tcBorders>
          </w:tcPr>
          <w:p>
            <w:pPr>
              <w:pStyle w:val="TableParagraph"/>
              <w:rPr>
                <w:rFonts w:ascii="Times New Roman"/>
                <w:sz w:val="18"/>
              </w:rPr>
            </w:pPr>
          </w:p>
        </w:tc>
        <w:tc>
          <w:tcPr>
            <w:tcW w:w="2127" w:type="dxa"/>
            <w:vMerge/>
            <w:tcBorders>
              <w:top w:val="nil"/>
              <w:bottom w:val="single" w:sz="12" w:space="0" w:color="000000"/>
            </w:tcBorders>
          </w:tcPr>
          <w:p>
            <w:pPr>
              <w:rPr>
                <w:sz w:val="2"/>
                <w:szCs w:val="2"/>
              </w:rPr>
            </w:pPr>
          </w:p>
        </w:tc>
        <w:tc>
          <w:tcPr>
            <w:tcW w:w="1561" w:type="dxa"/>
            <w:tcBorders>
              <w:bottom w:val="single" w:sz="12" w:space="0" w:color="000000"/>
            </w:tcBorders>
          </w:tcPr>
          <w:p>
            <w:pPr>
              <w:pStyle w:val="TableParagraph"/>
              <w:spacing w:line="219" w:lineRule="exact" w:before="79"/>
              <w:ind w:left="122"/>
              <w:rPr>
                <w:sz w:val="18"/>
              </w:rPr>
            </w:pPr>
            <w:r>
              <w:rPr>
                <w:sz w:val="18"/>
              </w:rPr>
              <w:t>CLIA/ECL</w:t>
            </w:r>
          </w:p>
          <w:p>
            <w:pPr>
              <w:pStyle w:val="TableParagraph"/>
              <w:ind w:left="122" w:right="552"/>
              <w:rPr>
                <w:sz w:val="18"/>
              </w:rPr>
            </w:pPr>
            <w:r>
              <w:rPr>
                <w:sz w:val="18"/>
              </w:rPr>
              <w:t>(automated instrument)</w:t>
            </w:r>
          </w:p>
        </w:tc>
        <w:tc>
          <w:tcPr>
            <w:tcW w:w="1842" w:type="dxa"/>
            <w:tcBorders>
              <w:bottom w:val="single" w:sz="12" w:space="0" w:color="000000"/>
            </w:tcBorders>
          </w:tcPr>
          <w:p>
            <w:pPr>
              <w:pStyle w:val="TableParagraph"/>
              <w:spacing w:before="79"/>
              <w:ind w:left="121" w:right="1180"/>
              <w:rPr>
                <w:sz w:val="18"/>
              </w:rPr>
            </w:pPr>
            <w:r>
              <w:rPr>
                <w:sz w:val="18"/>
              </w:rPr>
              <w:t>Serum Plasma</w:t>
            </w:r>
          </w:p>
        </w:tc>
        <w:tc>
          <w:tcPr>
            <w:tcW w:w="2549" w:type="dxa"/>
            <w:tcBorders>
              <w:bottom w:val="single" w:sz="12" w:space="0" w:color="000000"/>
            </w:tcBorders>
          </w:tcPr>
          <w:p>
            <w:pPr>
              <w:pStyle w:val="TableParagraph"/>
              <w:spacing w:before="79"/>
              <w:ind w:left="122"/>
              <w:rPr>
                <w:sz w:val="18"/>
              </w:rPr>
            </w:pPr>
            <w:r>
              <w:rPr>
                <w:sz w:val="18"/>
              </w:rPr>
              <w:t>N/A</w:t>
            </w:r>
          </w:p>
        </w:tc>
        <w:tc>
          <w:tcPr>
            <w:tcW w:w="3387" w:type="dxa"/>
            <w:tcBorders>
              <w:bottom w:val="single" w:sz="12" w:space="0" w:color="000000"/>
              <w:right w:val="single" w:sz="12" w:space="0" w:color="000000"/>
            </w:tcBorders>
          </w:tcPr>
          <w:p>
            <w:pPr>
              <w:pStyle w:val="TableParagraph"/>
              <w:rPr>
                <w:rFonts w:ascii="Times New Roman"/>
                <w:sz w:val="18"/>
              </w:rPr>
            </w:pPr>
          </w:p>
        </w:tc>
      </w:tr>
    </w:tbl>
    <w:p>
      <w:pPr>
        <w:spacing w:after="0"/>
        <w:rPr>
          <w:rFonts w:ascii="Times New Roman"/>
          <w:sz w:val="18"/>
        </w:rPr>
        <w:sectPr>
          <w:headerReference w:type="default" r:id="rId199"/>
          <w:footerReference w:type="default" r:id="rId200"/>
          <w:pgSz w:w="16840" w:h="11910" w:orient="landscape"/>
          <w:pgMar w:header="0" w:footer="495" w:top="1100" w:bottom="680" w:left="1180" w:right="920"/>
          <w:pgNumType w:start="19"/>
        </w:sectPr>
      </w:pPr>
    </w:p>
    <w:p>
      <w:pPr>
        <w:pStyle w:val="BodyText"/>
        <w:spacing w:before="8"/>
        <w:rPr>
          <w:rFonts w:ascii="Times New Roman"/>
          <w:sz w:val="27"/>
        </w:rPr>
      </w:pPr>
    </w:p>
    <w:p>
      <w:pPr>
        <w:pStyle w:val="BodyText"/>
        <w:ind w:left="137"/>
        <w:rPr>
          <w:rFonts w:ascii="Times New Roman"/>
          <w:sz w:val="20"/>
        </w:rPr>
      </w:pPr>
      <w:r>
        <w:rPr>
          <w:rFonts w:ascii="Times New Roman"/>
          <w:sz w:val="20"/>
        </w:rPr>
        <w:pict>
          <v:group style="width:702.5pt;height:308.4pt;mso-position-horizontal-relative:char;mso-position-vertical-relative:line" coordorigin="0,0" coordsize="14050,6168">
            <v:rect style="position:absolute;left:28;top:31;width:13992;height:488" filled="true" fillcolor="#e7e6e6" stroked="false">
              <v:fill type="solid"/>
            </v:rect>
            <v:rect style="position:absolute;left:122;top:31;width:13805;height:293" filled="true" fillcolor="#e7e6e6" stroked="false">
              <v:fill type="solid"/>
            </v:rect>
            <v:rect style="position:absolute;left:122;top:324;width:13805;height:195" filled="true" fillcolor="#e7e6e6" stroked="false">
              <v:fill type="solid"/>
            </v:rect>
            <v:rect style="position:absolute;left:28;top:0;width:13992;height:29" filled="true" fillcolor="#000000" stroked="false">
              <v:fill type="solid"/>
            </v:rect>
            <v:line style="position:absolute" from="29,30" to="14021,30" stroked="true" strokeweight=".12pt" strokecolor="#e7e6e6">
              <v:stroke dashstyle="solid"/>
            </v:line>
            <v:rect style="position:absolute;left:28;top:528;width:1100;height:430" filled="true" fillcolor="#e7e6e6" stroked="false">
              <v:fill type="solid"/>
            </v:rect>
            <v:rect style="position:absolute;left:122;top:528;width:903;height:195" filled="true" fillcolor="#e7e6e6" stroked="false">
              <v:fill type="solid"/>
            </v:rect>
            <v:rect style="position:absolute;left:1150;top:528;width:1822;height:430" filled="true" fillcolor="#e7e6e6" stroked="false">
              <v:fill type="solid"/>
            </v:rect>
            <v:rect style="position:absolute;left:1241;top:528;width:1628;height:195" filled="true" fillcolor="#e7e6e6" stroked="false">
              <v:fill type="solid"/>
            </v:rect>
            <v:rect style="position:absolute;left:2981;top:528;width:2118;height:430" filled="true" fillcolor="#e7e6e6" stroked="false">
              <v:fill type="solid"/>
            </v:rect>
            <v:rect style="position:absolute;left:3084;top:528;width:1911;height:195" filled="true" fillcolor="#e7e6e6" stroked="false">
              <v:fill type="solid"/>
            </v:rect>
            <v:rect style="position:absolute;left:5108;top:528;width:1551;height:430" filled="true" fillcolor="#e7e6e6" stroked="false">
              <v:fill type="solid"/>
            </v:rect>
            <v:rect style="position:absolute;left:5211;top:528;width:1344;height:195" filled="true" fillcolor="#e7e6e6" stroked="false">
              <v:fill type="solid"/>
            </v:rect>
            <v:rect style="position:absolute;left:6668;top:528;width:1832;height:430" filled="true" fillcolor="#e7e6e6" stroked="false">
              <v:fill type="solid"/>
            </v:rect>
            <v:rect style="position:absolute;left:6771;top:528;width:1625;height:195" filled="true" fillcolor="#e7e6e6" stroked="false">
              <v:fill type="solid"/>
            </v:rect>
            <v:rect style="position:absolute;left:8511;top:528;width:2542;height:430" filled="true" fillcolor="#e7e6e6" stroked="false">
              <v:fill type="solid"/>
            </v:rect>
            <v:rect style="position:absolute;left:8615;top:528;width:2336;height:195" filled="true" fillcolor="#e7e6e6" stroked="false">
              <v:fill type="solid"/>
            </v:rect>
            <v:rect style="position:absolute;left:8615;top:722;width:2336;height:197" filled="true" fillcolor="#e7e6e6" stroked="false">
              <v:fill type="solid"/>
            </v:rect>
            <v:rect style="position:absolute;left:11063;top:528;width:2958;height:430" filled="true" fillcolor="#e7e6e6" stroked="false">
              <v:fill type="solid"/>
            </v:rect>
            <v:rect style="position:absolute;left:11166;top:528;width:2761;height:195" filled="true" fillcolor="#e7e6e6" stroked="false">
              <v:fill type="solid"/>
            </v:rect>
            <v:line style="position:absolute" from="29,523" to="1128,523" stroked="true" strokeweight=".48pt" strokecolor="#000000">
              <v:stroke dashstyle="solid"/>
            </v:line>
            <v:rect style="position:absolute;left:1128;top:518;width:10;height:10" filled="true" fillcolor="#000000" stroked="false">
              <v:fill type="solid"/>
            </v:rect>
            <v:line style="position:absolute" from="1138,523" to="2972,523" stroked="true" strokeweight=".48pt" strokecolor="#000000">
              <v:stroke dashstyle="solid"/>
            </v:line>
            <v:rect style="position:absolute;left:2971;top:518;width:10;height:10" filled="true" fillcolor="#000000" stroked="false">
              <v:fill type="solid"/>
            </v:rect>
            <v:line style="position:absolute" from="2981,523" to="5098,523" stroked="true" strokeweight=".48pt" strokecolor="#000000">
              <v:stroke dashstyle="solid"/>
            </v:line>
            <v:rect style="position:absolute;left:5098;top:518;width:10;height:10" filled="true" fillcolor="#000000" stroked="false">
              <v:fill type="solid"/>
            </v:rect>
            <v:line style="position:absolute" from="5108,523" to="6659,523" stroked="true" strokeweight=".48pt" strokecolor="#000000">
              <v:stroke dashstyle="solid"/>
            </v:line>
            <v:rect style="position:absolute;left:6659;top:518;width:10;height:10" filled="true" fillcolor="#000000" stroked="false">
              <v:fill type="solid"/>
            </v:rect>
            <v:line style="position:absolute" from="6669,523" to="8502,523" stroked="true" strokeweight=".48pt" strokecolor="#000000">
              <v:stroke dashstyle="solid"/>
            </v:line>
            <v:rect style="position:absolute;left:8502;top:518;width:10;height:10" filled="true" fillcolor="#000000" stroked="false">
              <v:fill type="solid"/>
            </v:rect>
            <v:line style="position:absolute" from="8512,523" to="11054,523" stroked="true" strokeweight=".48pt" strokecolor="#000000">
              <v:stroke dashstyle="solid"/>
            </v:line>
            <v:rect style="position:absolute;left:11054;top:518;width:10;height:10" filled="true" fillcolor="#000000" stroked="false">
              <v:fill type="solid"/>
            </v:rect>
            <v:line style="position:absolute" from="11064,523" to="14021,523" stroked="true" strokeweight=".48pt" strokecolor="#000000">
              <v:stroke dashstyle="solid"/>
            </v:line>
            <v:shape style="position:absolute;left:1128;top:528;width:10;height:415" type="#_x0000_t75" stroked="false">
              <v:imagedata r:id="rId225" o:title=""/>
            </v:shape>
            <v:shape style="position:absolute;left:2971;top:528;width:10;height:415" type="#_x0000_t75" stroked="false">
              <v:imagedata r:id="rId225" o:title=""/>
            </v:shape>
            <v:shape style="position:absolute;left:6659;top:528;width:10;height:415" type="#_x0000_t75" stroked="false">
              <v:imagedata r:id="rId225" o:title=""/>
            </v:shape>
            <v:shape style="position:absolute;left:8502;top:528;width:10;height:415" type="#_x0000_t75" stroked="false">
              <v:imagedata r:id="rId225" o:title=""/>
            </v:shape>
            <v:line style="position:absolute" from="29,962" to="1128,962" stroked="true" strokeweight=".48pt" strokecolor="#000000">
              <v:stroke dashstyle="solid"/>
            </v:line>
            <v:shape style="position:absolute;left:1128;top:957;width:10;height:10" type="#_x0000_t75" stroked="false">
              <v:imagedata r:id="rId226" o:title=""/>
            </v:shape>
            <v:line style="position:absolute" from="1138,962" to="2972,962" stroked="true" strokeweight=".48pt" strokecolor="#000000">
              <v:stroke dashstyle="solid"/>
            </v:line>
            <v:shape style="position:absolute;left:2971;top:957;width:10;height:10" type="#_x0000_t75" stroked="false">
              <v:imagedata r:id="rId226" o:title=""/>
            </v:shape>
            <v:line style="position:absolute" from="2981,962" to="5098,962" stroked="true" strokeweight=".48pt" strokecolor="#000000">
              <v:stroke dashstyle="solid"/>
            </v:line>
            <v:line style="position:absolute" from="5108,962" to="6659,962" stroked="true" strokeweight=".48pt" strokecolor="#000000">
              <v:stroke dashstyle="solid"/>
            </v:line>
            <v:shape style="position:absolute;left:6659;top:957;width:10;height:10" type="#_x0000_t75" stroked="false">
              <v:imagedata r:id="rId226" o:title=""/>
            </v:shape>
            <v:line style="position:absolute" from="6669,962" to="8502,962" stroked="true" strokeweight=".48pt" strokecolor="#000000">
              <v:stroke dashstyle="solid"/>
            </v:line>
            <v:line style="position:absolute" from="8512,962" to="11054,962" stroked="true" strokeweight=".48pt" strokecolor="#000000">
              <v:stroke dashstyle="solid"/>
            </v:line>
            <v:shape style="position:absolute;left:11054;top:528;width:10;height:417" type="#_x0000_t75" stroked="false">
              <v:imagedata r:id="rId225" o:title=""/>
            </v:shape>
            <v:line style="position:absolute" from="11064,962" to="14021,962" stroked="true" strokeweight=".48pt" strokecolor="#000000">
              <v:stroke dashstyle="solid"/>
            </v:line>
            <v:shape style="position:absolute;left:2971;top:967;width:10;height:1801" type="#_x0000_t75" stroked="false">
              <v:imagedata r:id="rId227" o:title=""/>
            </v:shape>
            <v:shape style="position:absolute;left:1128;top:967;width:10;height:1832" type="#_x0000_t75" stroked="false">
              <v:imagedata r:id="rId228" o:title=""/>
            </v:shape>
            <v:shape style="position:absolute;left:2971;top:2767;width:10;height:32" type="#_x0000_t75" stroked="false">
              <v:imagedata r:id="rId229" o:title=""/>
            </v:shape>
            <v:shape style="position:absolute;left:5098;top:528;width:3414;height:2271" type="#_x0000_t75" stroked="false">
              <v:imagedata r:id="rId230" o:title=""/>
            </v:shape>
            <v:shape style="position:absolute;left:6659;top:2767;width:10;height:32" type="#_x0000_t75" stroked="false">
              <v:imagedata r:id="rId229" o:title=""/>
            </v:shape>
            <v:shape style="position:absolute;left:1128;top:2799;width:10;height:1242" type="#_x0000_t75" stroked="false">
              <v:imagedata r:id="rId231" o:title=""/>
            </v:shape>
            <v:line style="position:absolute" from="1138,4014" to="2972,4014" stroked="true" strokeweight=".47998pt" strokecolor="#000000">
              <v:stroke dashstyle="solid"/>
            </v:line>
            <v:shape style="position:absolute;left:2971;top:2799;width:10;height:1242" type="#_x0000_t75" stroked="false">
              <v:imagedata r:id="rId231" o:title=""/>
            </v:shape>
            <v:line style="position:absolute" from="2981,4014" to="5098,4014" stroked="true" strokeweight=".47998pt" strokecolor="#000000">
              <v:stroke dashstyle="solid"/>
            </v:line>
            <v:shape style="position:absolute;left:5098;top:2767;width:3414;height:1273" type="#_x0000_t75" stroked="false">
              <v:imagedata r:id="rId232" o:title=""/>
            </v:shape>
            <v:line style="position:absolute" from="5108,4014" to="6659,4014" stroked="true" strokeweight=".47998pt" strokecolor="#000000">
              <v:stroke dashstyle="solid"/>
            </v:line>
            <v:shape style="position:absolute;left:6659;top:4009;width:10;height:32" type="#_x0000_t75" stroked="false">
              <v:imagedata r:id="rId233" o:title=""/>
            </v:shape>
            <v:line style="position:absolute" from="6669,4014" to="8502,4014" stroked="true" strokeweight=".47998pt" strokecolor="#000000">
              <v:stroke dashstyle="solid"/>
            </v:line>
            <v:shape style="position:absolute;left:2971;top:4040;width:10;height:694" type="#_x0000_t75" stroked="false">
              <v:imagedata r:id="rId234" o:title=""/>
            </v:shape>
            <v:shape style="position:absolute;left:6659;top:4040;width:10;height:694" type="#_x0000_t75" stroked="false">
              <v:imagedata r:id="rId234" o:title=""/>
            </v:shape>
            <v:shape style="position:absolute;left:8502;top:4009;width:10;height:725" type="#_x0000_t75" stroked="false">
              <v:imagedata r:id="rId235" o:title=""/>
            </v:shape>
            <v:shape style="position:absolute;left:1128;top:4040;width:10;height:725" type="#_x0000_t75" stroked="false">
              <v:imagedata r:id="rId236" o:title=""/>
            </v:shape>
            <v:line style="position:absolute" from="1138,4739" to="2972,4739" stroked="true" strokeweight=".48001pt" strokecolor="#000000">
              <v:stroke dashstyle="solid"/>
            </v:line>
            <v:shape style="position:absolute;left:2971;top:4733;width:10;height:32" type="#_x0000_t75" stroked="false">
              <v:imagedata r:id="rId237" o:title=""/>
            </v:shape>
            <v:line style="position:absolute" from="2981,4739" to="5098,4739" stroked="true" strokeweight=".48001pt" strokecolor="#000000">
              <v:stroke dashstyle="solid"/>
            </v:line>
            <v:line style="position:absolute" from="5108,4739" to="6659,4739" stroked="true" strokeweight=".48001pt" strokecolor="#000000">
              <v:stroke dashstyle="solid"/>
            </v:line>
            <v:shape style="position:absolute;left:6659;top:4733;width:10;height:32" type="#_x0000_t75" stroked="false">
              <v:imagedata r:id="rId237" o:title=""/>
            </v:shape>
            <v:line style="position:absolute" from="6669,4739" to="8502,4739" stroked="true" strokeweight=".48001pt" strokecolor="#000000">
              <v:stroke dashstyle="solid"/>
            </v:line>
            <v:line style="position:absolute" from="14,0" to="14,6167" stroked="true" strokeweight="1.44pt" strokecolor="#000000">
              <v:stroke dashstyle="solid"/>
            </v:line>
            <v:line style="position:absolute" from="29,6153" to="1128,6153" stroked="true" strokeweight="1.44pt" strokecolor="#000000">
              <v:stroke dashstyle="solid"/>
            </v:line>
            <v:shape style="position:absolute;left:1128;top:4765;width:10;height:1374" type="#_x0000_t75" stroked="false">
              <v:imagedata r:id="rId238" o:title=""/>
            </v:shape>
            <v:rect style="position:absolute;left:1128;top:6138;width:29;height:29" filled="true" fillcolor="#000000" stroked="false">
              <v:fill type="solid"/>
            </v:rect>
            <v:line style="position:absolute" from="1157,6153" to="2972,6153" stroked="true" strokeweight="1.44pt" strokecolor="#000000">
              <v:stroke dashstyle="solid"/>
            </v:line>
            <v:shape style="position:absolute;left:2971;top:4765;width:10;height:1374" type="#_x0000_t75" stroked="false">
              <v:imagedata r:id="rId238" o:title=""/>
            </v:shape>
            <v:rect style="position:absolute;left:2971;top:6138;width:29;height:29" filled="true" fillcolor="#000000" stroked="false">
              <v:fill type="solid"/>
            </v:rect>
            <v:line style="position:absolute" from="3000,6153" to="5098,6153" stroked="true" strokeweight="1.44pt" strokecolor="#000000">
              <v:stroke dashstyle="solid"/>
            </v:line>
            <v:shape style="position:absolute;left:5098;top:4040;width:10;height:2099" type="#_x0000_t75" stroked="false">
              <v:imagedata r:id="rId239" o:title=""/>
            </v:shape>
            <v:rect style="position:absolute;left:5098;top:6138;width:29;height:29" filled="true" fillcolor="#000000" stroked="false">
              <v:fill type="solid"/>
            </v:rect>
            <v:line style="position:absolute" from="5127,6153" to="6659,6153" stroked="true" strokeweight="1.44pt" strokecolor="#000000">
              <v:stroke dashstyle="solid"/>
            </v:line>
            <v:shape style="position:absolute;left:6659;top:4765;width:10;height:1374" type="#_x0000_t75" stroked="false">
              <v:imagedata r:id="rId238" o:title=""/>
            </v:shape>
            <v:rect style="position:absolute;left:6659;top:6138;width:29;height:29" filled="true" fillcolor="#000000" stroked="false">
              <v:fill type="solid"/>
            </v:rect>
            <v:line style="position:absolute" from="6688,6153" to="8502,6153" stroked="true" strokeweight="1.44pt" strokecolor="#000000">
              <v:stroke dashstyle="solid"/>
            </v:line>
            <v:shape style="position:absolute;left:8502;top:4733;width:10;height:1405" type="#_x0000_t75" stroked="false">
              <v:imagedata r:id="rId240" o:title=""/>
            </v:shape>
            <v:rect style="position:absolute;left:8502;top:6138;width:29;height:29" filled="true" fillcolor="#000000" stroked="false">
              <v:fill type="solid"/>
            </v:rect>
            <v:line style="position:absolute" from="8531,6153" to="11054,6153" stroked="true" strokeweight="1.44pt" strokecolor="#000000">
              <v:stroke dashstyle="solid"/>
            </v:line>
            <v:shape style="position:absolute;left:11054;top:967;width:10;height:5172" type="#_x0000_t75" stroked="false">
              <v:imagedata r:id="rId241" o:title=""/>
            </v:shape>
            <v:rect style="position:absolute;left:11054;top:6138;width:29;height:29" filled="true" fillcolor="#000000" stroked="false">
              <v:fill type="solid"/>
            </v:rect>
            <v:line style="position:absolute" from="11083,6153" to="14021,6153" stroked="true" strokeweight="1.44pt" strokecolor="#000000">
              <v:stroke dashstyle="solid"/>
            </v:line>
            <v:line style="position:absolute" from="14035,0" to="14035,6167" stroked="true" strokeweight="1.44pt" strokecolor="#000000">
              <v:stroke dashstyle="solid"/>
            </v:line>
            <v:shape style="position:absolute;left:122;top:79;width:7357;height:240" type="#_x0000_t202" filled="false" stroked="false">
              <v:textbox inset="0,0,0,0">
                <w:txbxContent>
                  <w:p>
                    <w:pPr>
                      <w:spacing w:line="240" w:lineRule="exact" w:before="0"/>
                      <w:ind w:left="0" w:right="0" w:firstLine="0"/>
                      <w:jc w:val="left"/>
                      <w:rPr>
                        <w:b/>
                        <w:sz w:val="24"/>
                      </w:rPr>
                    </w:pPr>
                    <w:r>
                      <w:rPr>
                        <w:b/>
                        <w:sz w:val="22"/>
                      </w:rPr>
                      <w:t>II.b </w:t>
                    </w:r>
                    <w:r>
                      <w:rPr>
                        <w:b/>
                        <w:sz w:val="24"/>
                      </w:rPr>
                      <w:t>Disease-specific IVDs for health care facilities with clinical laboratories</w:t>
                    </w:r>
                  </w:p>
                </w:txbxContent>
              </v:textbox>
              <w10:wrap type="none"/>
            </v:shape>
            <v:shape style="position:absolute;left:1241;top:558;width:1007;height:161" type="#_x0000_t202" filled="false" stroked="false">
              <v:textbox inset="0,0,0,0">
                <w:txbxContent>
                  <w:p>
                    <w:pPr>
                      <w:spacing w:line="161" w:lineRule="exact" w:before="0"/>
                      <w:ind w:left="0" w:right="0" w:firstLine="0"/>
                      <w:jc w:val="left"/>
                      <w:rPr>
                        <w:b/>
                        <w:sz w:val="16"/>
                      </w:rPr>
                    </w:pPr>
                    <w:r>
                      <w:rPr>
                        <w:b/>
                        <w:sz w:val="16"/>
                      </w:rPr>
                      <w:t>Diagnostic test</w:t>
                    </w:r>
                  </w:p>
                </w:txbxContent>
              </v:textbox>
              <w10:wrap type="none"/>
            </v:shape>
            <v:shape style="position:absolute;left:3084;top:558;width:882;height:161" type="#_x0000_t202" filled="false" stroked="false">
              <v:textbox inset="0,0,0,0">
                <w:txbxContent>
                  <w:p>
                    <w:pPr>
                      <w:spacing w:line="161" w:lineRule="exact" w:before="0"/>
                      <w:ind w:left="0" w:right="0" w:firstLine="0"/>
                      <w:jc w:val="left"/>
                      <w:rPr>
                        <w:b/>
                        <w:sz w:val="16"/>
                      </w:rPr>
                    </w:pPr>
                    <w:r>
                      <w:rPr>
                        <w:b/>
                        <w:sz w:val="16"/>
                      </w:rPr>
                      <w:t>Test purpose</w:t>
                    </w:r>
                  </w:p>
                </w:txbxContent>
              </v:textbox>
              <w10:wrap type="none"/>
            </v:shape>
            <v:shape style="position:absolute;left:5211;top:558;width:897;height:161" type="#_x0000_t202" filled="false" stroked="false">
              <v:textbox inset="0,0,0,0">
                <w:txbxContent>
                  <w:p>
                    <w:pPr>
                      <w:spacing w:line="161" w:lineRule="exact" w:before="0"/>
                      <w:ind w:left="0" w:right="0" w:firstLine="0"/>
                      <w:jc w:val="left"/>
                      <w:rPr>
                        <w:b/>
                        <w:sz w:val="16"/>
                      </w:rPr>
                    </w:pPr>
                    <w:r>
                      <w:rPr>
                        <w:b/>
                        <w:sz w:val="16"/>
                      </w:rPr>
                      <w:t>Assay format</w:t>
                    </w:r>
                  </w:p>
                </w:txbxContent>
              </v:textbox>
              <w10:wrap type="none"/>
            </v:shape>
            <v:shape style="position:absolute;left:6771;top:558;width:1001;height:161" type="#_x0000_t202" filled="false" stroked="false">
              <v:textbox inset="0,0,0,0">
                <w:txbxContent>
                  <w:p>
                    <w:pPr>
                      <w:spacing w:line="161" w:lineRule="exact" w:before="0"/>
                      <w:ind w:left="0" w:right="0" w:firstLine="0"/>
                      <w:jc w:val="left"/>
                      <w:rPr>
                        <w:b/>
                        <w:sz w:val="16"/>
                      </w:rPr>
                    </w:pPr>
                    <w:r>
                      <w:rPr>
                        <w:b/>
                        <w:sz w:val="16"/>
                      </w:rPr>
                      <w:t>Specimen type</w:t>
                    </w:r>
                  </w:p>
                </w:txbxContent>
              </v:textbox>
              <w10:wrap type="none"/>
            </v:shape>
            <v:shape style="position:absolute;left:1241;top:1002;width:1350;height:401" type="#_x0000_t202" filled="false" stroked="false">
              <v:textbox inset="0,0,0,0">
                <w:txbxContent>
                  <w:p>
                    <w:pPr>
                      <w:spacing w:line="183" w:lineRule="exact" w:before="0"/>
                      <w:ind w:left="0" w:right="0" w:firstLine="0"/>
                      <w:jc w:val="left"/>
                      <w:rPr>
                        <w:sz w:val="18"/>
                      </w:rPr>
                    </w:pPr>
                    <w:r>
                      <w:rPr>
                        <w:sz w:val="18"/>
                      </w:rPr>
                      <w:t>Antibodies to HCV</w:t>
                    </w:r>
                  </w:p>
                  <w:p>
                    <w:pPr>
                      <w:spacing w:line="216" w:lineRule="exact" w:before="1"/>
                      <w:ind w:left="0" w:right="0" w:firstLine="0"/>
                      <w:jc w:val="left"/>
                      <w:rPr>
                        <w:sz w:val="18"/>
                      </w:rPr>
                    </w:pPr>
                    <w:r>
                      <w:rPr>
                        <w:sz w:val="18"/>
                      </w:rPr>
                      <w:t>(anti-HCV)</w:t>
                    </w:r>
                  </w:p>
                </w:txbxContent>
              </v:textbox>
              <w10:wrap type="none"/>
            </v:shape>
            <v:shape style="position:absolute;left:3084;top:1002;width:1849;height:840" type="#_x0000_t202" filled="false" stroked="false">
              <v:textbox inset="0,0,0,0">
                <w:txbxContent>
                  <w:p>
                    <w:pPr>
                      <w:spacing w:line="183" w:lineRule="exact" w:before="0"/>
                      <w:ind w:left="0" w:right="0" w:firstLine="0"/>
                      <w:jc w:val="left"/>
                      <w:rPr>
                        <w:sz w:val="18"/>
                      </w:rPr>
                    </w:pPr>
                    <w:r>
                      <w:rPr>
                        <w:sz w:val="18"/>
                      </w:rPr>
                      <w:t>Screening for HCV</w:t>
                    </w:r>
                  </w:p>
                  <w:p>
                    <w:pPr>
                      <w:spacing w:before="1"/>
                      <w:ind w:left="0" w:right="-3" w:firstLine="0"/>
                      <w:jc w:val="left"/>
                      <w:rPr>
                        <w:sz w:val="18"/>
                      </w:rPr>
                    </w:pPr>
                    <w:r>
                      <w:rPr>
                        <w:sz w:val="18"/>
                      </w:rPr>
                      <w:t>infection: infants over 18 months of age, children, adolescents, adults</w:t>
                    </w:r>
                  </w:p>
                </w:txbxContent>
              </v:textbox>
              <w10:wrap type="none"/>
            </v:shape>
            <v:shape style="position:absolute;left:5211;top:1002;width:317;height:180" type="#_x0000_t202" filled="false" stroked="false">
              <v:textbox inset="0,0,0,0">
                <w:txbxContent>
                  <w:p>
                    <w:pPr>
                      <w:spacing w:line="180" w:lineRule="exact" w:before="0"/>
                      <w:ind w:left="0" w:right="0" w:firstLine="0"/>
                      <w:jc w:val="left"/>
                      <w:rPr>
                        <w:sz w:val="18"/>
                      </w:rPr>
                    </w:pPr>
                    <w:r>
                      <w:rPr>
                        <w:sz w:val="18"/>
                      </w:rPr>
                      <w:t>RDT</w:t>
                    </w:r>
                  </w:p>
                </w:txbxContent>
              </v:textbox>
              <w10:wrap type="none"/>
            </v:shape>
            <v:shape style="position:absolute;left:8615;top:558;width:2320;height:1066" type="#_x0000_t202" filled="false" stroked="false">
              <v:textbox inset="0,0,0,0">
                <w:txbxContent>
                  <w:p>
                    <w:pPr>
                      <w:spacing w:line="163" w:lineRule="exact" w:before="0"/>
                      <w:ind w:left="0" w:right="0" w:firstLine="0"/>
                      <w:jc w:val="left"/>
                      <w:rPr>
                        <w:b/>
                        <w:sz w:val="16"/>
                      </w:rPr>
                    </w:pPr>
                    <w:r>
                      <w:rPr>
                        <w:b/>
                        <w:sz w:val="16"/>
                      </w:rPr>
                      <w:t>WHO prequalified or endorsed</w:t>
                    </w:r>
                  </w:p>
                  <w:p>
                    <w:pPr>
                      <w:spacing w:line="195" w:lineRule="exact" w:before="0"/>
                      <w:ind w:left="0" w:right="0" w:firstLine="0"/>
                      <w:jc w:val="left"/>
                      <w:rPr>
                        <w:b/>
                        <w:sz w:val="16"/>
                      </w:rPr>
                    </w:pPr>
                    <w:r>
                      <w:rPr>
                        <w:b/>
                        <w:sz w:val="16"/>
                      </w:rPr>
                      <w:t>products</w:t>
                    </w:r>
                  </w:p>
                  <w:p>
                    <w:pPr>
                      <w:spacing w:before="49"/>
                      <w:ind w:left="0" w:right="8" w:firstLine="0"/>
                      <w:jc w:val="left"/>
                      <w:rPr>
                        <w:sz w:val="18"/>
                      </w:rPr>
                    </w:pPr>
                    <w:hyperlink r:id="rId82">
                      <w:r>
                        <w:rPr>
                          <w:color w:val="0462C1"/>
                          <w:sz w:val="18"/>
                          <w:u w:val="single" w:color="0462C1"/>
                        </w:rPr>
                        <w:t>http://www.who.int/diagnostic</w:t>
                      </w:r>
                    </w:hyperlink>
                    <w:r>
                      <w:rPr>
                        <w:color w:val="0462C1"/>
                        <w:sz w:val="18"/>
                      </w:rPr>
                      <w:t> </w:t>
                    </w:r>
                    <w:hyperlink r:id="rId82">
                      <w:r>
                        <w:rPr>
                          <w:color w:val="0462C1"/>
                          <w:sz w:val="18"/>
                          <w:u w:val="single" w:color="0462C1"/>
                        </w:rPr>
                        <w:t>s_laboratory/evaluations/pq-</w:t>
                      </w:r>
                    </w:hyperlink>
                    <w:r>
                      <w:rPr>
                        <w:color w:val="0462C1"/>
                        <w:sz w:val="18"/>
                      </w:rPr>
                      <w:t> </w:t>
                    </w:r>
                    <w:hyperlink r:id="rId82">
                      <w:r>
                        <w:rPr>
                          <w:color w:val="0462C1"/>
                          <w:sz w:val="18"/>
                          <w:u w:val="single" w:color="0462C1"/>
                        </w:rPr>
                        <w:t>list/hcv/public_report/en/</w:t>
                      </w:r>
                    </w:hyperlink>
                  </w:p>
                </w:txbxContent>
              </v:textbox>
              <w10:wrap type="none"/>
            </v:shape>
            <v:shape style="position:absolute;left:11166;top:558;width:1911;height:161" type="#_x0000_t202" filled="false" stroked="false">
              <v:textbox inset="0,0,0,0">
                <w:txbxContent>
                  <w:p>
                    <w:pPr>
                      <w:spacing w:line="161" w:lineRule="exact" w:before="0"/>
                      <w:ind w:left="0" w:right="0" w:firstLine="0"/>
                      <w:jc w:val="left"/>
                      <w:rPr>
                        <w:b/>
                        <w:sz w:val="16"/>
                      </w:rPr>
                    </w:pPr>
                    <w:r>
                      <w:rPr>
                        <w:b/>
                        <w:sz w:val="16"/>
                      </w:rPr>
                      <w:t>WHO supporting documents</w:t>
                    </w:r>
                  </w:p>
                </w:txbxContent>
              </v:textbox>
              <w10:wrap type="none"/>
            </v:shape>
            <v:shape style="position:absolute;left:122;top:1002;width:810;height:180" type="#_x0000_t202" filled="false" stroked="false">
              <v:textbox inset="0,0,0,0">
                <w:txbxContent>
                  <w:p>
                    <w:pPr>
                      <w:spacing w:line="180" w:lineRule="exact" w:before="0"/>
                      <w:ind w:left="0" w:right="0" w:firstLine="0"/>
                      <w:jc w:val="left"/>
                      <w:rPr>
                        <w:sz w:val="18"/>
                      </w:rPr>
                    </w:pPr>
                    <w:r>
                      <w:rPr>
                        <w:sz w:val="18"/>
                      </w:rPr>
                      <w:t>Hepatitis C</w:t>
                    </w:r>
                  </w:p>
                </w:txbxContent>
              </v:textbox>
              <w10:wrap type="none"/>
            </v:shape>
            <v:shape style="position:absolute;left:5211;top:1672;width:1198;height:869" type="#_x0000_t202" filled="false" stroked="false">
              <v:textbox inset="0,0,0,0">
                <w:txbxContent>
                  <w:p>
                    <w:pPr>
                      <w:spacing w:line="183" w:lineRule="exact" w:before="0"/>
                      <w:ind w:left="0" w:right="0" w:firstLine="0"/>
                      <w:jc w:val="left"/>
                      <w:rPr>
                        <w:sz w:val="18"/>
                      </w:rPr>
                    </w:pPr>
                    <w:r>
                      <w:rPr>
                        <w:sz w:val="18"/>
                      </w:rPr>
                      <w:t>EIA (microplate)</w:t>
                    </w:r>
                  </w:p>
                  <w:p>
                    <w:pPr>
                      <w:spacing w:line="273" w:lineRule="auto" w:before="1"/>
                      <w:ind w:left="0" w:right="2" w:firstLine="0"/>
                      <w:jc w:val="left"/>
                      <w:rPr>
                        <w:sz w:val="18"/>
                      </w:rPr>
                    </w:pPr>
                    <w:r>
                      <w:rPr>
                        <w:sz w:val="18"/>
                      </w:rPr>
                      <w:t>Manual method CLIA/ECL</w:t>
                    </w:r>
                  </w:p>
                  <w:p>
                    <w:pPr>
                      <w:spacing w:line="183" w:lineRule="exact" w:before="0"/>
                      <w:ind w:left="0" w:right="0" w:firstLine="0"/>
                      <w:jc w:val="left"/>
                      <w:rPr>
                        <w:sz w:val="18"/>
                      </w:rPr>
                    </w:pPr>
                    <w:r>
                      <w:rPr>
                        <w:sz w:val="18"/>
                      </w:rPr>
                      <w:t>(automated</w:t>
                    </w:r>
                  </w:p>
                </w:txbxContent>
              </v:textbox>
              <w10:wrap type="none"/>
            </v:shape>
            <v:shape style="position:absolute;left:6771;top:1002;width:1515;height:1539" type="#_x0000_t202" filled="false" stroked="false">
              <v:textbox inset="0,0,0,0">
                <w:txbxContent>
                  <w:p>
                    <w:pPr>
                      <w:spacing w:line="183" w:lineRule="exact" w:before="0"/>
                      <w:ind w:left="0" w:right="0" w:firstLine="0"/>
                      <w:jc w:val="left"/>
                      <w:rPr>
                        <w:sz w:val="18"/>
                      </w:rPr>
                    </w:pPr>
                    <w:r>
                      <w:rPr>
                        <w:sz w:val="18"/>
                      </w:rPr>
                      <w:t>Venous whole blood</w:t>
                    </w:r>
                  </w:p>
                  <w:p>
                    <w:pPr>
                      <w:spacing w:line="249" w:lineRule="auto" w:before="1"/>
                      <w:ind w:left="0" w:right="992" w:firstLine="0"/>
                      <w:jc w:val="both"/>
                      <w:rPr>
                        <w:sz w:val="18"/>
                      </w:rPr>
                    </w:pPr>
                    <w:r>
                      <w:rPr>
                        <w:sz w:val="18"/>
                      </w:rPr>
                      <w:t>Plasma Serum Serum Plasma Serum Plasma</w:t>
                    </w:r>
                  </w:p>
                </w:txbxContent>
              </v:textbox>
              <w10:wrap type="none"/>
            </v:shape>
            <v:shape style="position:absolute;left:11166;top:1002;width:2732;height:1062" type="#_x0000_t202" filled="false" stroked="false">
              <v:textbox inset="0,0,0,0">
                <w:txbxContent>
                  <w:p>
                    <w:pPr>
                      <w:spacing w:line="183" w:lineRule="exact" w:before="0"/>
                      <w:ind w:left="0" w:right="0" w:firstLine="0"/>
                      <w:jc w:val="left"/>
                      <w:rPr>
                        <w:sz w:val="18"/>
                      </w:rPr>
                    </w:pPr>
                    <w:r>
                      <w:rPr>
                        <w:sz w:val="18"/>
                      </w:rPr>
                      <w:t>Guidelines on hepatitis B and C</w:t>
                    </w:r>
                  </w:p>
                  <w:p>
                    <w:pPr>
                      <w:spacing w:before="1"/>
                      <w:ind w:left="0" w:right="-2" w:firstLine="0"/>
                      <w:jc w:val="left"/>
                      <w:rPr>
                        <w:sz w:val="18"/>
                      </w:rPr>
                    </w:pPr>
                    <w:r>
                      <w:rPr>
                        <w:sz w:val="18"/>
                      </w:rPr>
                      <w:t>testing (February 2017) </w:t>
                    </w:r>
                    <w:hyperlink r:id="rId81">
                      <w:r>
                        <w:rPr>
                          <w:color w:val="0462C1"/>
                          <w:sz w:val="18"/>
                          <w:u w:val="single" w:color="0462C1"/>
                        </w:rPr>
                        <w:t>http://apps.who.int/iris/bitstream/h</w:t>
                      </w:r>
                    </w:hyperlink>
                    <w:r>
                      <w:rPr>
                        <w:color w:val="0462C1"/>
                        <w:sz w:val="18"/>
                      </w:rPr>
                      <w:t> </w:t>
                    </w:r>
                    <w:hyperlink r:id="rId81">
                      <w:r>
                        <w:rPr>
                          <w:color w:val="0462C1"/>
                          <w:sz w:val="18"/>
                          <w:u w:val="single" w:color="0462C1"/>
                        </w:rPr>
                        <w:t>andle/10665/254621/978924154998</w:t>
                      </w:r>
                    </w:hyperlink>
                  </w:p>
                  <w:p>
                    <w:pPr>
                      <w:spacing w:line="216" w:lineRule="exact" w:before="1"/>
                      <w:ind w:left="0" w:right="0" w:firstLine="0"/>
                      <w:jc w:val="left"/>
                      <w:rPr>
                        <w:sz w:val="18"/>
                      </w:rPr>
                    </w:pPr>
                    <w:hyperlink r:id="rId81">
                      <w:r>
                        <w:rPr>
                          <w:color w:val="0462C1"/>
                          <w:sz w:val="18"/>
                          <w:u w:val="single" w:color="0462C1"/>
                        </w:rPr>
                        <w:t>1-eng.pdf?sequence=1</w:t>
                      </w:r>
                    </w:hyperlink>
                  </w:p>
                </w:txbxContent>
              </v:textbox>
              <w10:wrap type="none"/>
            </v:shape>
            <v:shape style="position:absolute;left:1138;top:2582;width:7385;height:1308" type="#_x0000_t202" filled="false" stroked="false">
              <v:textbox inset="0,0,0,0">
                <w:txbxContent>
                  <w:p>
                    <w:pPr>
                      <w:tabs>
                        <w:tab w:pos="4073" w:val="left" w:leader="none"/>
                        <w:tab w:pos="7364" w:val="left" w:leader="none"/>
                      </w:tabs>
                      <w:spacing w:line="183" w:lineRule="exact" w:before="0"/>
                      <w:ind w:left="0" w:right="0" w:firstLine="0"/>
                      <w:jc w:val="left"/>
                      <w:rPr>
                        <w:sz w:val="18"/>
                      </w:rPr>
                    </w:pPr>
                    <w:r>
                      <w:rPr>
                        <w:sz w:val="18"/>
                        <w:u w:val="single"/>
                      </w:rPr>
                      <w:t> </w:t>
                      <w:tab/>
                      <w:t>instrument)</w:t>
                      <w:tab/>
                    </w:r>
                  </w:p>
                  <w:p>
                    <w:pPr>
                      <w:tabs>
                        <w:tab w:pos="1946" w:val="left" w:leader="none"/>
                      </w:tabs>
                      <w:spacing w:before="30"/>
                      <w:ind w:left="103" w:right="3566" w:firstLine="0"/>
                      <w:jc w:val="left"/>
                      <w:rPr>
                        <w:sz w:val="18"/>
                      </w:rPr>
                    </w:pPr>
                    <w:r>
                      <w:rPr>
                        <w:sz w:val="18"/>
                      </w:rPr>
                      <w:t>Antibodies</w:t>
                    </w:r>
                    <w:r>
                      <w:rPr>
                        <w:spacing w:val="-3"/>
                        <w:sz w:val="18"/>
                      </w:rPr>
                      <w:t> </w:t>
                    </w:r>
                    <w:r>
                      <w:rPr>
                        <w:sz w:val="18"/>
                      </w:rPr>
                      <w:t>to</w:t>
                    </w:r>
                    <w:r>
                      <w:rPr>
                        <w:spacing w:val="-1"/>
                        <w:sz w:val="18"/>
                      </w:rPr>
                      <w:t> </w:t>
                    </w:r>
                    <w:r>
                      <w:rPr>
                        <w:sz w:val="18"/>
                      </w:rPr>
                      <w:t>HCV</w:t>
                      <w:tab/>
                      <w:t>Screening for HCV past </w:t>
                    </w:r>
                    <w:r>
                      <w:rPr>
                        <w:spacing w:val="-6"/>
                        <w:sz w:val="18"/>
                      </w:rPr>
                      <w:t>or </w:t>
                    </w:r>
                    <w:r>
                      <w:rPr>
                        <w:sz w:val="18"/>
                      </w:rPr>
                      <w:t>(anti-HCV)</w:t>
                    </w:r>
                    <w:r>
                      <w:rPr>
                        <w:spacing w:val="-1"/>
                        <w:sz w:val="18"/>
                      </w:rPr>
                      <w:t> </w:t>
                    </w:r>
                    <w:r>
                      <w:rPr>
                        <w:sz w:val="18"/>
                      </w:rPr>
                      <w:t>and</w:t>
                    </w:r>
                    <w:r>
                      <w:rPr>
                        <w:spacing w:val="-2"/>
                        <w:sz w:val="18"/>
                      </w:rPr>
                      <w:t> </w:t>
                    </w:r>
                    <w:r>
                      <w:rPr>
                        <w:sz w:val="18"/>
                      </w:rPr>
                      <w:t>HCV</w:t>
                      <w:tab/>
                      <w:t>present infection: infants core</w:t>
                    </w:r>
                    <w:r>
                      <w:rPr>
                        <w:spacing w:val="-4"/>
                        <w:sz w:val="18"/>
                      </w:rPr>
                      <w:t> </w:t>
                    </w:r>
                    <w:r>
                      <w:rPr>
                        <w:sz w:val="18"/>
                      </w:rPr>
                      <w:t>antigen</w:t>
                    </w:r>
                    <w:r>
                      <w:rPr>
                        <w:spacing w:val="-2"/>
                        <w:sz w:val="18"/>
                      </w:rPr>
                      <w:t> </w:t>
                    </w:r>
                    <w:r>
                      <w:rPr>
                        <w:sz w:val="18"/>
                      </w:rPr>
                      <w:t>(HCV</w:t>
                      <w:tab/>
                      <w:t>over 18 months of age, cAg)</w:t>
                      <w:tab/>
                      <w:t>children,</w:t>
                    </w:r>
                    <w:r>
                      <w:rPr>
                        <w:spacing w:val="-2"/>
                        <w:sz w:val="18"/>
                      </w:rPr>
                      <w:t> </w:t>
                    </w:r>
                    <w:r>
                      <w:rPr>
                        <w:sz w:val="18"/>
                      </w:rPr>
                      <w:t>adolescents,</w:t>
                    </w:r>
                  </w:p>
                  <w:p>
                    <w:pPr>
                      <w:spacing w:line="216" w:lineRule="exact" w:before="0"/>
                      <w:ind w:left="1946" w:right="0" w:firstLine="0"/>
                      <w:jc w:val="left"/>
                      <w:rPr>
                        <w:sz w:val="18"/>
                      </w:rPr>
                    </w:pPr>
                    <w:r>
                      <w:rPr>
                        <w:sz w:val="18"/>
                      </w:rPr>
                      <w:t>adults</w:t>
                    </w:r>
                  </w:p>
                </w:txbxContent>
              </v:textbox>
              <w10:wrap type="none"/>
            </v:shape>
            <v:shape style="position:absolute;left:3084;top:4073;width:1682;height:401" type="#_x0000_t202" filled="false" stroked="false">
              <v:textbox inset="0,0,0,0">
                <w:txbxContent>
                  <w:p>
                    <w:pPr>
                      <w:spacing w:line="183" w:lineRule="exact" w:before="0"/>
                      <w:ind w:left="0" w:right="0" w:firstLine="0"/>
                      <w:jc w:val="left"/>
                      <w:rPr>
                        <w:sz w:val="18"/>
                      </w:rPr>
                    </w:pPr>
                    <w:r>
                      <w:rPr>
                        <w:sz w:val="18"/>
                      </w:rPr>
                      <w:t>For the diagnosis of</w:t>
                    </w:r>
                  </w:p>
                  <w:p>
                    <w:pPr>
                      <w:spacing w:line="216" w:lineRule="exact" w:before="1"/>
                      <w:ind w:left="0" w:right="0" w:firstLine="0"/>
                      <w:jc w:val="left"/>
                      <w:rPr>
                        <w:sz w:val="18"/>
                      </w:rPr>
                    </w:pPr>
                    <w:r>
                      <w:rPr>
                        <w:sz w:val="18"/>
                      </w:rPr>
                      <w:t>viraemic HCV infection</w:t>
                    </w:r>
                  </w:p>
                </w:txbxContent>
              </v:textbox>
              <w10:wrap type="none"/>
            </v:shape>
            <v:shape style="position:absolute;left:5211;top:2832;width:1198;height:2149" type="#_x0000_t202" filled="false" stroked="false">
              <v:textbox inset="0,0,0,0">
                <w:txbxContent>
                  <w:p>
                    <w:pPr>
                      <w:spacing w:line="183" w:lineRule="exact" w:before="0"/>
                      <w:ind w:left="0" w:right="0" w:firstLine="0"/>
                      <w:jc w:val="left"/>
                      <w:rPr>
                        <w:sz w:val="18"/>
                      </w:rPr>
                    </w:pPr>
                    <w:r>
                      <w:rPr>
                        <w:sz w:val="18"/>
                      </w:rPr>
                      <w:t>EIA (microplate)</w:t>
                    </w:r>
                  </w:p>
                  <w:p>
                    <w:pPr>
                      <w:spacing w:line="273" w:lineRule="auto" w:before="1"/>
                      <w:ind w:left="0" w:right="2" w:firstLine="0"/>
                      <w:jc w:val="left"/>
                      <w:rPr>
                        <w:sz w:val="18"/>
                      </w:rPr>
                    </w:pPr>
                    <w:r>
                      <w:rPr>
                        <w:sz w:val="18"/>
                      </w:rPr>
                      <w:t>Manual method CLIA/ECL</w:t>
                    </w:r>
                  </w:p>
                  <w:p>
                    <w:pPr>
                      <w:spacing w:line="187" w:lineRule="exact" w:before="0"/>
                      <w:ind w:left="0" w:right="0" w:firstLine="0"/>
                      <w:jc w:val="left"/>
                      <w:rPr>
                        <w:sz w:val="18"/>
                      </w:rPr>
                    </w:pPr>
                    <w:r>
                      <w:rPr>
                        <w:sz w:val="18"/>
                      </w:rPr>
                      <w:t>(automated</w:t>
                    </w:r>
                  </w:p>
                  <w:p>
                    <w:pPr>
                      <w:spacing w:before="1"/>
                      <w:ind w:left="0" w:right="0" w:firstLine="0"/>
                      <w:jc w:val="left"/>
                      <w:rPr>
                        <w:sz w:val="18"/>
                      </w:rPr>
                    </w:pPr>
                    <w:r>
                      <w:rPr>
                        <w:sz w:val="18"/>
                      </w:rPr>
                      <w:t>instrument)</w:t>
                    </w:r>
                  </w:p>
                  <w:p>
                    <w:pPr>
                      <w:spacing w:before="112"/>
                      <w:ind w:left="0" w:right="0" w:firstLine="0"/>
                      <w:jc w:val="left"/>
                      <w:rPr>
                        <w:sz w:val="18"/>
                      </w:rPr>
                    </w:pPr>
                    <w:r>
                      <w:rPr>
                        <w:sz w:val="18"/>
                      </w:rPr>
                      <w:t>CLIA/ECL</w:t>
                    </w:r>
                  </w:p>
                  <w:p>
                    <w:pPr>
                      <w:spacing w:before="1"/>
                      <w:ind w:left="0" w:right="311" w:firstLine="0"/>
                      <w:jc w:val="left"/>
                      <w:rPr>
                        <w:sz w:val="18"/>
                      </w:rPr>
                    </w:pPr>
                    <w:r>
                      <w:rPr>
                        <w:sz w:val="18"/>
                      </w:rPr>
                      <w:t>(automated instrument)</w:t>
                    </w:r>
                  </w:p>
                  <w:p>
                    <w:pPr>
                      <w:spacing w:line="216" w:lineRule="exact" w:before="67"/>
                      <w:ind w:left="0" w:right="0" w:firstLine="0"/>
                      <w:jc w:val="left"/>
                      <w:rPr>
                        <w:sz w:val="18"/>
                      </w:rPr>
                    </w:pPr>
                    <w:r>
                      <w:rPr>
                        <w:sz w:val="18"/>
                      </w:rPr>
                      <w:t>NAT</w:t>
                    </w:r>
                  </w:p>
                </w:txbxContent>
              </v:textbox>
              <w10:wrap type="none"/>
            </v:shape>
            <v:shape style="position:absolute;left:6771;top:2832;width:541;height:869" type="#_x0000_t202" filled="false" stroked="false">
              <v:textbox inset="0,0,0,0">
                <w:txbxContent>
                  <w:p>
                    <w:pPr>
                      <w:spacing w:line="183" w:lineRule="exact" w:before="0"/>
                      <w:ind w:left="0" w:right="0" w:firstLine="0"/>
                      <w:jc w:val="left"/>
                      <w:rPr>
                        <w:sz w:val="18"/>
                      </w:rPr>
                    </w:pPr>
                    <w:r>
                      <w:rPr>
                        <w:sz w:val="18"/>
                      </w:rPr>
                      <w:t>Serum</w:t>
                    </w:r>
                  </w:p>
                  <w:p>
                    <w:pPr>
                      <w:spacing w:line="254" w:lineRule="auto" w:before="1"/>
                      <w:ind w:left="0" w:right="18" w:firstLine="0"/>
                      <w:jc w:val="both"/>
                      <w:rPr>
                        <w:sz w:val="18"/>
                      </w:rPr>
                    </w:pPr>
                    <w:r>
                      <w:rPr>
                        <w:sz w:val="18"/>
                      </w:rPr>
                      <w:t>Plasma Serum Plasma</w:t>
                    </w:r>
                  </w:p>
                </w:txbxContent>
              </v:textbox>
              <w10:wrap type="none"/>
            </v:shape>
            <v:shape style="position:absolute;left:1241;top:4073;width:1286;height:401" type="#_x0000_t202" filled="false" stroked="false">
              <v:textbox inset="0,0,0,0">
                <w:txbxContent>
                  <w:p>
                    <w:pPr>
                      <w:spacing w:line="183" w:lineRule="exact" w:before="0"/>
                      <w:ind w:left="0" w:right="0" w:firstLine="0"/>
                      <w:jc w:val="left"/>
                      <w:rPr>
                        <w:sz w:val="18"/>
                      </w:rPr>
                    </w:pPr>
                    <w:r>
                      <w:rPr>
                        <w:sz w:val="18"/>
                      </w:rPr>
                      <w:t>HCV core antigen</w:t>
                    </w:r>
                  </w:p>
                  <w:p>
                    <w:pPr>
                      <w:spacing w:line="216" w:lineRule="exact" w:before="1"/>
                      <w:ind w:left="0" w:right="0" w:firstLine="0"/>
                      <w:jc w:val="left"/>
                      <w:rPr>
                        <w:sz w:val="18"/>
                      </w:rPr>
                    </w:pPr>
                    <w:r>
                      <w:rPr>
                        <w:sz w:val="18"/>
                      </w:rPr>
                      <w:t>(HCV cAg)</w:t>
                    </w:r>
                  </w:p>
                </w:txbxContent>
              </v:textbox>
              <w10:wrap type="none"/>
            </v:shape>
            <v:shape style="position:absolute;left:6771;top:4073;width:541;height:401" type="#_x0000_t202" filled="false" stroked="false">
              <v:textbox inset="0,0,0,0">
                <w:txbxContent>
                  <w:p>
                    <w:pPr>
                      <w:spacing w:line="183" w:lineRule="exact" w:before="0"/>
                      <w:ind w:left="0" w:right="0" w:firstLine="0"/>
                      <w:jc w:val="left"/>
                      <w:rPr>
                        <w:sz w:val="18"/>
                      </w:rPr>
                    </w:pPr>
                    <w:r>
                      <w:rPr>
                        <w:sz w:val="18"/>
                      </w:rPr>
                      <w:t>Serum</w:t>
                    </w:r>
                  </w:p>
                  <w:p>
                    <w:pPr>
                      <w:spacing w:line="216" w:lineRule="exact" w:before="1"/>
                      <w:ind w:left="0" w:right="0" w:firstLine="0"/>
                      <w:jc w:val="left"/>
                      <w:rPr>
                        <w:sz w:val="18"/>
                      </w:rPr>
                    </w:pPr>
                    <w:r>
                      <w:rPr>
                        <w:sz w:val="18"/>
                      </w:rPr>
                      <w:t>Plasma</w:t>
                    </w:r>
                  </w:p>
                </w:txbxContent>
              </v:textbox>
              <w10:wrap type="none"/>
            </v:shape>
            <v:shape style="position:absolute;left:1241;top:4800;width:1558;height:399" type="#_x0000_t202" filled="false" stroked="false">
              <v:textbox inset="0,0,0,0">
                <w:txbxContent>
                  <w:p>
                    <w:pPr>
                      <w:spacing w:line="183" w:lineRule="exact" w:before="0"/>
                      <w:ind w:left="0" w:right="0" w:firstLine="0"/>
                      <w:jc w:val="left"/>
                      <w:rPr>
                        <w:sz w:val="18"/>
                      </w:rPr>
                    </w:pPr>
                    <w:r>
                      <w:rPr>
                        <w:sz w:val="18"/>
                      </w:rPr>
                      <w:t>HCV RNA (qualitative</w:t>
                    </w:r>
                  </w:p>
                  <w:p>
                    <w:pPr>
                      <w:spacing w:line="216" w:lineRule="exact" w:before="0"/>
                      <w:ind w:left="0" w:right="0" w:firstLine="0"/>
                      <w:jc w:val="left"/>
                      <w:rPr>
                        <w:sz w:val="18"/>
                      </w:rPr>
                    </w:pPr>
                    <w:r>
                      <w:rPr>
                        <w:sz w:val="18"/>
                      </w:rPr>
                      <w:t>or quantitative)</w:t>
                    </w:r>
                  </w:p>
                </w:txbxContent>
              </v:textbox>
              <w10:wrap type="none"/>
            </v:shape>
            <v:shape style="position:absolute;left:3084;top:4800;width:1866;height:1059" type="#_x0000_t202" filled="false" stroked="false">
              <v:textbox inset="0,0,0,0">
                <w:txbxContent>
                  <w:p>
                    <w:pPr>
                      <w:spacing w:line="183" w:lineRule="exact" w:before="0"/>
                      <w:ind w:left="0" w:right="0" w:firstLine="0"/>
                      <w:jc w:val="left"/>
                      <w:rPr>
                        <w:sz w:val="18"/>
                      </w:rPr>
                    </w:pPr>
                    <w:r>
                      <w:rPr>
                        <w:sz w:val="18"/>
                      </w:rPr>
                      <w:t>For the diagnosis of</w:t>
                    </w:r>
                  </w:p>
                  <w:p>
                    <w:pPr>
                      <w:spacing w:before="0"/>
                      <w:ind w:left="0" w:right="-2" w:firstLine="0"/>
                      <w:jc w:val="left"/>
                      <w:rPr>
                        <w:sz w:val="18"/>
                      </w:rPr>
                    </w:pPr>
                    <w:r>
                      <w:rPr>
                        <w:sz w:val="18"/>
                      </w:rPr>
                      <w:t>viraemic HCV infection and monitoring of response to treatment as a test of cure</w:t>
                    </w:r>
                  </w:p>
                </w:txbxContent>
              </v:textbox>
              <w10:wrap type="none"/>
            </v:shape>
            <v:shape style="position:absolute;left:6771;top:4800;width:541;height:399" type="#_x0000_t202" filled="false" stroked="false">
              <v:textbox inset="0,0,0,0">
                <w:txbxContent>
                  <w:p>
                    <w:pPr>
                      <w:spacing w:line="183" w:lineRule="exact" w:before="0"/>
                      <w:ind w:left="0" w:right="0" w:firstLine="0"/>
                      <w:jc w:val="left"/>
                      <w:rPr>
                        <w:sz w:val="18"/>
                      </w:rPr>
                    </w:pPr>
                    <w:r>
                      <w:rPr>
                        <w:sz w:val="18"/>
                      </w:rPr>
                      <w:t>Serum</w:t>
                    </w:r>
                  </w:p>
                  <w:p>
                    <w:pPr>
                      <w:spacing w:line="216" w:lineRule="exact" w:before="0"/>
                      <w:ind w:left="0" w:right="0" w:firstLine="0"/>
                      <w:jc w:val="left"/>
                      <w:rPr>
                        <w:sz w:val="18"/>
                      </w:rPr>
                    </w:pPr>
                    <w:r>
                      <w:rPr>
                        <w:sz w:val="18"/>
                      </w:rPr>
                      <w:t>Plasma</w:t>
                    </w:r>
                  </w:p>
                </w:txbxContent>
              </v:textbox>
              <w10:wrap type="none"/>
            </v:shape>
          </v:group>
        </w:pict>
      </w:r>
      <w:r>
        <w:rPr>
          <w:rFonts w:ascii="Times New Roman"/>
          <w:sz w:val="20"/>
        </w:rPr>
      </w:r>
    </w:p>
    <w:p>
      <w:pPr>
        <w:spacing w:after="0"/>
        <w:rPr>
          <w:rFonts w:ascii="Times New Roman"/>
          <w:sz w:val="20"/>
        </w:rPr>
        <w:sectPr>
          <w:headerReference w:type="default" r:id="rId223"/>
          <w:footerReference w:type="default" r:id="rId224"/>
          <w:pgSz w:w="16840" w:h="11910" w:orient="landscape"/>
          <w:pgMar w:header="0" w:footer="495" w:top="1100" w:bottom="680" w:left="1180" w:right="920"/>
          <w:pgNumType w:start="20"/>
        </w:sectPr>
      </w:pPr>
    </w:p>
    <w:p>
      <w:pPr>
        <w:pStyle w:val="BodyText"/>
        <w:rPr>
          <w:rFonts w:ascii="Times New Roman"/>
          <w:sz w:val="29"/>
        </w:rPr>
      </w:pPr>
      <w:r>
        <w:rPr/>
        <w:pict>
          <v:group style="position:absolute;margin-left:122.300003pt;margin-top:98.420006pt;width:.5pt;height:412.9pt;mso-position-horizontal-relative:page;mso-position-vertical-relative:page;z-index:-122608" coordorigin="2446,1968" coordsize="10,8258">
            <v:shape style="position:absolute;left:2446;top:1968;width:10;height:447" type="#_x0000_t75" stroked="false">
              <v:imagedata r:id="rId155" o:title=""/>
            </v:shape>
            <v:shape style="position:absolute;left:2446;top:2414;width:10;height:10" type="#_x0000_t75" stroked="false">
              <v:imagedata r:id="rId244" o:title=""/>
            </v:shape>
            <v:shape style="position:absolute;left:2446;top:2424;width:10;height:4864" type="#_x0000_t75" stroked="false">
              <v:imagedata r:id="rId245" o:title=""/>
            </v:shape>
            <v:shape style="position:absolute;left:2446;top:7287;width:10;height:2939" type="#_x0000_t75" stroked="false">
              <v:imagedata r:id="rId246" o:title=""/>
            </v:shape>
            <w10:wrap type="none"/>
          </v:group>
        </w:pict>
      </w:r>
      <w:r>
        <w:rPr/>
        <w:pict>
          <v:group style="position:absolute;margin-left:213.740005pt;margin-top:98.420006pt;width:.5pt;height:199.65pt;mso-position-horizontal-relative:page;mso-position-vertical-relative:page;z-index:-122584" coordorigin="4275,1968" coordsize="10,3993">
            <v:shape style="position:absolute;left:4274;top:1968;width:10;height:447" type="#_x0000_t75" stroked="false">
              <v:imagedata r:id="rId155" o:title=""/>
            </v:shape>
            <v:shape style="position:absolute;left:4274;top:2414;width:10;height:10" type="#_x0000_t75" stroked="false">
              <v:imagedata r:id="rId244" o:title=""/>
            </v:shape>
            <v:shape style="position:absolute;left:4274;top:2424;width:10;height:3537" type="#_x0000_t75" stroked="false">
              <v:imagedata r:id="rId247" o:title=""/>
            </v:shape>
            <w10:wrap type="none"/>
          </v:group>
        </w:pict>
      </w:r>
      <w:r>
        <w:rPr/>
        <w:pict>
          <v:group style="position:absolute;margin-left:320.089996pt;margin-top:98.420006pt;width:299pt;height:413.4pt;mso-position-horizontal-relative:page;mso-position-vertical-relative:page;z-index:-122560" coordorigin="6402,1968" coordsize="5980,8268">
            <v:shape style="position:absolute;left:7962;top:1968;width:10;height:447" type="#_x0000_t75" stroked="false">
              <v:imagedata r:id="rId155" o:title=""/>
            </v:shape>
            <v:shape style="position:absolute;left:9803;top:1968;width:10;height:447" type="#_x0000_t75" stroked="false">
              <v:imagedata r:id="rId155" o:title=""/>
            </v:shape>
            <v:shape style="position:absolute;left:7962;top:2414;width:10;height:10" type="#_x0000_t75" stroked="false">
              <v:imagedata r:id="rId244" o:title=""/>
            </v:shape>
            <v:shape style="position:absolute;left:6401;top:1968;width:3411;height:3993" type="#_x0000_t75" stroked="false">
              <v:imagedata r:id="rId248" o:title=""/>
            </v:shape>
            <v:shape style="position:absolute;left:7962;top:5951;width:10;height:10" type="#_x0000_t75" stroked="false">
              <v:imagedata r:id="rId249" o:title=""/>
            </v:shape>
            <v:shape style="position:absolute;left:6401;top:5951;width:3411;height:1337" type="#_x0000_t75" stroked="false">
              <v:imagedata r:id="rId250" o:title=""/>
            </v:shape>
            <v:shape style="position:absolute;left:6401;top:7278;width:3411;height:1799" type="#_x0000_t75" stroked="false">
              <v:imagedata r:id="rId251" o:title=""/>
            </v:shape>
            <v:shape style="position:absolute;left:7962;top:9066;width:10;height:10" type="#_x0000_t75" stroked="false">
              <v:imagedata r:id="rId249" o:title=""/>
            </v:shape>
            <v:shape style="position:absolute;left:6401;top:9066;width:3411;height:1170" type="#_x0000_t75" stroked="false">
              <v:imagedata r:id="rId252" o:title=""/>
            </v:shape>
            <v:line style="position:absolute" from="7972,10231" to="9803,10231" stroked="true" strokeweight=".48001pt" strokecolor="#000000">
              <v:stroke dashstyle="solid"/>
            </v:line>
            <v:shape style="position:absolute;left:9803;top:9525;width:10;height:702" type="#_x0000_t75" stroked="false">
              <v:imagedata r:id="rId253" o:title=""/>
            </v:shape>
            <v:rect style="position:absolute;left:9803;top:10226;width:10;height:10" filled="true" fillcolor="#000000" stroked="false">
              <v:fill type="solid"/>
            </v:rect>
            <v:line style="position:absolute" from="9813,10231" to="12371,10231" stroked="true" strokeweight=".48001pt" strokecolor="#000000">
              <v:stroke dashstyle="solid"/>
            </v:line>
            <v:shape style="position:absolute;left:12371;top:1968;width:10;height:456" type="#_x0000_t75" stroked="false">
              <v:imagedata r:id="rId254" o:title=""/>
            </v:shape>
            <v:shape style="position:absolute;left:12371;top:2424;width:10;height:1107" type="#_x0000_t75" stroked="false">
              <v:imagedata r:id="rId255" o:title=""/>
            </v:shape>
            <v:shape style="position:absolute;left:12371;top:3531;width:10;height:2430" type="#_x0000_t75" stroked="false">
              <v:imagedata r:id="rId256" o:title=""/>
            </v:shape>
            <v:shape style="position:absolute;left:12371;top:5960;width:10;height:1328" type="#_x0000_t75" stroked="false">
              <v:imagedata r:id="rId257" o:title=""/>
            </v:shape>
            <v:shape style="position:absolute;left:12371;top:7287;width:10;height:1789" type="#_x0000_t75" stroked="false">
              <v:imagedata r:id="rId258" o:title=""/>
            </v:shape>
            <v:shape style="position:absolute;left:12371;top:9076;width:10;height:1150" type="#_x0000_t75" stroked="false">
              <v:imagedata r:id="rId259" o:title=""/>
            </v:shape>
            <w10:wrap type="none"/>
          </v:group>
        </w:pict>
      </w:r>
      <w:r>
        <w:rPr/>
        <w:pict>
          <v:line style="position:absolute;mso-position-horizontal-relative:page;mso-position-vertical-relative:page;z-index:-122536" from="624.219971pt,296.290009pt" to="716.523971pt,296.290009pt" stroked="true" strokeweight=".600010pt" strokecolor="#0462c1">
            <v:stroke dashstyle="solid"/>
            <w10:wrap type="none"/>
          </v:line>
        </w:pict>
      </w:r>
      <w:r>
        <w:rPr/>
        <w:pict>
          <v:line style="position:absolute;mso-position-horizontal-relative:page;mso-position-vertical-relative:page;z-index:-122512" from="624.219971pt,362.77002pt" to="710.139971pt,362.77002pt" stroked="true" strokeweight=".599980pt" strokecolor="#0462c1">
            <v:stroke dashstyle="solid"/>
            <w10:wrap type="none"/>
          </v:line>
        </w:pict>
      </w:r>
      <w:r>
        <w:rPr/>
        <w:pict>
          <v:group style="position:absolute;margin-left:213.740005pt;margin-top:298.029999pt;width:.5pt;height:213.3pt;mso-position-horizontal-relative:page;mso-position-vertical-relative:page;z-index:-122488" coordorigin="4275,5961" coordsize="10,4266">
            <v:shape style="position:absolute;left:4274;top:5960;width:10;height:1328" type="#_x0000_t75" stroked="false">
              <v:imagedata r:id="rId257" o:title=""/>
            </v:shape>
            <v:shape style="position:absolute;left:4274;top:7287;width:10;height:1789" type="#_x0000_t75" stroked="false">
              <v:imagedata r:id="rId258" o:title=""/>
            </v:shape>
            <v:shape style="position:absolute;left:4274;top:9076;width:10;height:1150" type="#_x0000_t75" stroked="false">
              <v:imagedata r:id="rId259" o:title=""/>
            </v:shape>
            <w10:wrap type="none"/>
          </v:group>
        </w:pict>
      </w:r>
      <w:r>
        <w:rPr/>
        <w:pict>
          <v:line style="position:absolute;mso-position-horizontal-relative:page;mso-position-vertical-relative:page;z-index:3352" from="624.219971pt,510.059998pt" to="734.519971pt,510.059998pt" stroked="true" strokeweight=".600010pt" strokecolor="#0462c1">
            <v:stroke dashstyle="solid"/>
            <w10:wrap type="none"/>
          </v:line>
        </w:pict>
      </w:r>
    </w:p>
    <w:tbl>
      <w:tblPr>
        <w:tblW w:w="0" w:type="auto"/>
        <w:jc w:val="left"/>
        <w:tblInd w:w="1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25"/>
        <w:gridCol w:w="1823"/>
        <w:gridCol w:w="2127"/>
        <w:gridCol w:w="1566"/>
        <w:gridCol w:w="1846"/>
        <w:gridCol w:w="2564"/>
        <w:gridCol w:w="3406"/>
      </w:tblGrid>
      <w:tr>
        <w:trPr>
          <w:trHeight w:val="488" w:hRule="atLeast"/>
        </w:trPr>
        <w:tc>
          <w:tcPr>
            <w:tcW w:w="14457" w:type="dxa"/>
            <w:gridSpan w:val="7"/>
            <w:tcBorders>
              <w:bottom w:val="single" w:sz="4" w:space="0" w:color="000000"/>
            </w:tcBorders>
            <w:shd w:val="clear" w:color="auto" w:fill="E7E6E6"/>
          </w:tcPr>
          <w:p>
            <w:pPr>
              <w:pStyle w:val="TableParagraph"/>
              <w:spacing w:before="1"/>
              <w:ind w:left="107"/>
              <w:rPr>
                <w:b/>
                <w:sz w:val="24"/>
              </w:rPr>
            </w:pPr>
            <w:r>
              <w:rPr>
                <w:b/>
                <w:sz w:val="22"/>
              </w:rPr>
              <w:t>II.b </w:t>
            </w:r>
            <w:r>
              <w:rPr>
                <w:b/>
                <w:sz w:val="24"/>
              </w:rPr>
              <w:t>Disease-specific IVDs for health care facilities with clinical laboratories</w:t>
            </w:r>
          </w:p>
        </w:tc>
      </w:tr>
      <w:tr>
        <w:trPr>
          <w:trHeight w:val="445" w:hRule="atLeast"/>
        </w:trPr>
        <w:tc>
          <w:tcPr>
            <w:tcW w:w="1125" w:type="dxa"/>
            <w:tcBorders>
              <w:top w:val="single" w:sz="4" w:space="0" w:color="000000"/>
              <w:bottom w:val="single" w:sz="4" w:space="0" w:color="000000"/>
              <w:right w:val="single" w:sz="12" w:space="0" w:color="FFFFFF"/>
            </w:tcBorders>
            <w:shd w:val="clear" w:color="auto" w:fill="E7E6E6"/>
          </w:tcPr>
          <w:p>
            <w:pPr>
              <w:pStyle w:val="TableParagraph"/>
              <w:rPr>
                <w:rFonts w:ascii="Times New Roman"/>
                <w:sz w:val="18"/>
              </w:rPr>
            </w:pPr>
          </w:p>
        </w:tc>
        <w:tc>
          <w:tcPr>
            <w:tcW w:w="1823" w:type="dxa"/>
            <w:tcBorders>
              <w:top w:val="single" w:sz="4" w:space="0" w:color="000000"/>
              <w:left w:val="single" w:sz="12" w:space="0" w:color="FFFFFF"/>
              <w:bottom w:val="single" w:sz="4" w:space="0" w:color="000000"/>
              <w:right w:val="single" w:sz="4" w:space="0" w:color="FFFFFF"/>
            </w:tcBorders>
            <w:shd w:val="clear" w:color="auto" w:fill="E7E6E6"/>
          </w:tcPr>
          <w:p>
            <w:pPr>
              <w:pStyle w:val="TableParagraph"/>
              <w:spacing w:line="194" w:lineRule="exact"/>
              <w:ind w:left="101"/>
              <w:rPr>
                <w:b/>
                <w:sz w:val="16"/>
              </w:rPr>
            </w:pPr>
            <w:r>
              <w:rPr>
                <w:b/>
                <w:sz w:val="16"/>
              </w:rPr>
              <w:t>Diagnostic test</w:t>
            </w:r>
          </w:p>
        </w:tc>
        <w:tc>
          <w:tcPr>
            <w:tcW w:w="2127" w:type="dxa"/>
            <w:tcBorders>
              <w:top w:val="single" w:sz="4" w:space="0" w:color="000000"/>
              <w:left w:val="single" w:sz="4" w:space="0" w:color="FFFFFF"/>
              <w:bottom w:val="single" w:sz="4" w:space="0" w:color="000000"/>
              <w:right w:val="single" w:sz="4" w:space="0" w:color="FFFFFF"/>
            </w:tcBorders>
            <w:shd w:val="clear" w:color="auto" w:fill="E7E6E6"/>
          </w:tcPr>
          <w:p>
            <w:pPr>
              <w:pStyle w:val="TableParagraph"/>
              <w:spacing w:line="194" w:lineRule="exact"/>
              <w:ind w:left="116"/>
              <w:rPr>
                <w:b/>
                <w:sz w:val="16"/>
              </w:rPr>
            </w:pPr>
            <w:r>
              <w:rPr>
                <w:b/>
                <w:sz w:val="16"/>
              </w:rPr>
              <w:t>Test purpose</w:t>
            </w:r>
          </w:p>
        </w:tc>
        <w:tc>
          <w:tcPr>
            <w:tcW w:w="1566" w:type="dxa"/>
            <w:tcBorders>
              <w:top w:val="single" w:sz="4" w:space="0" w:color="000000"/>
              <w:left w:val="single" w:sz="4" w:space="0" w:color="FFFFFF"/>
              <w:bottom w:val="single" w:sz="4" w:space="0" w:color="000000"/>
              <w:right w:val="single" w:sz="4" w:space="0" w:color="FFFFFF"/>
            </w:tcBorders>
            <w:shd w:val="clear" w:color="auto" w:fill="E7E6E6"/>
          </w:tcPr>
          <w:p>
            <w:pPr>
              <w:pStyle w:val="TableParagraph"/>
              <w:spacing w:line="194" w:lineRule="exact"/>
              <w:ind w:left="117"/>
              <w:rPr>
                <w:b/>
                <w:sz w:val="16"/>
              </w:rPr>
            </w:pPr>
            <w:r>
              <w:rPr>
                <w:b/>
                <w:sz w:val="16"/>
              </w:rPr>
              <w:t>Assay format</w:t>
            </w:r>
          </w:p>
        </w:tc>
        <w:tc>
          <w:tcPr>
            <w:tcW w:w="1846" w:type="dxa"/>
            <w:tcBorders>
              <w:top w:val="single" w:sz="4" w:space="0" w:color="000000"/>
              <w:left w:val="single" w:sz="4" w:space="0" w:color="FFFFFF"/>
              <w:bottom w:val="single" w:sz="4" w:space="0" w:color="000000"/>
              <w:right w:val="single" w:sz="4" w:space="0" w:color="FFFFFF"/>
            </w:tcBorders>
            <w:shd w:val="clear" w:color="auto" w:fill="E7E6E6"/>
          </w:tcPr>
          <w:p>
            <w:pPr>
              <w:pStyle w:val="TableParagraph"/>
              <w:spacing w:line="194" w:lineRule="exact"/>
              <w:ind w:left="111"/>
              <w:rPr>
                <w:b/>
                <w:sz w:val="16"/>
              </w:rPr>
            </w:pPr>
            <w:r>
              <w:rPr>
                <w:b/>
                <w:sz w:val="16"/>
              </w:rPr>
              <w:t>Specimen type</w:t>
            </w:r>
          </w:p>
        </w:tc>
        <w:tc>
          <w:tcPr>
            <w:tcW w:w="2564" w:type="dxa"/>
            <w:tcBorders>
              <w:top w:val="single" w:sz="4" w:space="0" w:color="000000"/>
              <w:left w:val="single" w:sz="4" w:space="0" w:color="FFFFFF"/>
              <w:bottom w:val="single" w:sz="4" w:space="0" w:color="000000"/>
              <w:right w:val="single" w:sz="4" w:space="0" w:color="FFFFFF"/>
            </w:tcBorders>
            <w:shd w:val="clear" w:color="auto" w:fill="E7E6E6"/>
          </w:tcPr>
          <w:p>
            <w:pPr>
              <w:pStyle w:val="TableParagraph"/>
              <w:ind w:left="106" w:right="388"/>
              <w:rPr>
                <w:b/>
                <w:sz w:val="16"/>
              </w:rPr>
            </w:pPr>
            <w:r>
              <w:rPr>
                <w:b/>
                <w:sz w:val="16"/>
              </w:rPr>
              <w:t>WHO prequalified or endorsed products</w:t>
            </w:r>
          </w:p>
        </w:tc>
        <w:tc>
          <w:tcPr>
            <w:tcW w:w="3406" w:type="dxa"/>
            <w:tcBorders>
              <w:top w:val="single" w:sz="4" w:space="0" w:color="000000"/>
              <w:left w:val="single" w:sz="4" w:space="0" w:color="FFFFFF"/>
              <w:bottom w:val="single" w:sz="4" w:space="0" w:color="000000"/>
            </w:tcBorders>
            <w:shd w:val="clear" w:color="auto" w:fill="E7E6E6"/>
          </w:tcPr>
          <w:p>
            <w:pPr>
              <w:pStyle w:val="TableParagraph"/>
              <w:spacing w:line="194" w:lineRule="exact"/>
              <w:ind w:left="110"/>
              <w:rPr>
                <w:b/>
                <w:sz w:val="16"/>
              </w:rPr>
            </w:pPr>
            <w:r>
              <w:rPr>
                <w:b/>
                <w:sz w:val="16"/>
              </w:rPr>
              <w:t>WHO supporting documents</w:t>
            </w:r>
          </w:p>
        </w:tc>
      </w:tr>
      <w:tr>
        <w:trPr>
          <w:trHeight w:val="1096" w:hRule="atLeast"/>
        </w:trPr>
        <w:tc>
          <w:tcPr>
            <w:tcW w:w="1125" w:type="dxa"/>
            <w:tcBorders>
              <w:top w:val="single" w:sz="4" w:space="0" w:color="000000"/>
              <w:bottom w:val="nil"/>
              <w:right w:val="single" w:sz="12" w:space="0" w:color="FFFFFF"/>
            </w:tcBorders>
          </w:tcPr>
          <w:p>
            <w:pPr>
              <w:pStyle w:val="TableParagraph"/>
              <w:spacing w:line="219" w:lineRule="exact"/>
              <w:ind w:left="107"/>
              <w:rPr>
                <w:sz w:val="18"/>
              </w:rPr>
            </w:pPr>
            <w:r>
              <w:rPr>
                <w:sz w:val="18"/>
              </w:rPr>
              <w:t>HIV</w:t>
            </w:r>
          </w:p>
        </w:tc>
        <w:tc>
          <w:tcPr>
            <w:tcW w:w="1823" w:type="dxa"/>
            <w:tcBorders>
              <w:top w:val="single" w:sz="4" w:space="0" w:color="000000"/>
              <w:left w:val="single" w:sz="12" w:space="0" w:color="FFFFFF"/>
              <w:bottom w:val="nil"/>
              <w:right w:val="single" w:sz="4" w:space="0" w:color="FFFFFF"/>
            </w:tcBorders>
          </w:tcPr>
          <w:p>
            <w:pPr>
              <w:pStyle w:val="TableParagraph"/>
              <w:ind w:left="101" w:right="111"/>
              <w:rPr>
                <w:sz w:val="18"/>
              </w:rPr>
            </w:pPr>
            <w:r>
              <w:rPr>
                <w:sz w:val="18"/>
              </w:rPr>
              <w:t>Antibodies to HIV-1/2 (anti-HIV) test</w:t>
            </w:r>
          </w:p>
        </w:tc>
        <w:tc>
          <w:tcPr>
            <w:tcW w:w="3693" w:type="dxa"/>
            <w:gridSpan w:val="2"/>
            <w:vMerge w:val="restart"/>
            <w:tcBorders>
              <w:top w:val="single" w:sz="4" w:space="0" w:color="000000"/>
              <w:left w:val="single" w:sz="4" w:space="0" w:color="FFFFFF"/>
              <w:bottom w:val="single" w:sz="4" w:space="0" w:color="000000"/>
              <w:right w:val="nil"/>
            </w:tcBorders>
          </w:tcPr>
          <w:p>
            <w:pPr>
              <w:pStyle w:val="TableParagraph"/>
              <w:tabs>
                <w:tab w:pos="2243" w:val="left" w:leader="none"/>
              </w:tabs>
              <w:ind w:left="116" w:right="1145"/>
              <w:rPr>
                <w:sz w:val="18"/>
              </w:rPr>
            </w:pPr>
            <w:r>
              <w:rPr>
                <w:sz w:val="18"/>
              </w:rPr>
              <w:t>For the diagnosis</w:t>
            </w:r>
            <w:r>
              <w:rPr>
                <w:spacing w:val="-5"/>
                <w:sz w:val="18"/>
              </w:rPr>
              <w:t> </w:t>
            </w:r>
            <w:r>
              <w:rPr>
                <w:sz w:val="18"/>
              </w:rPr>
              <w:t>of</w:t>
            </w:r>
            <w:r>
              <w:rPr>
                <w:spacing w:val="-1"/>
                <w:sz w:val="18"/>
              </w:rPr>
              <w:t> </w:t>
            </w:r>
            <w:r>
              <w:rPr>
                <w:sz w:val="18"/>
              </w:rPr>
              <w:t>HIV</w:t>
              <w:tab/>
            </w:r>
            <w:r>
              <w:rPr>
                <w:spacing w:val="-6"/>
                <w:sz w:val="18"/>
              </w:rPr>
              <w:t>RDT </w:t>
            </w:r>
            <w:r>
              <w:rPr>
                <w:sz w:val="18"/>
              </w:rPr>
              <w:t>infection:</w:t>
            </w:r>
            <w:r>
              <w:rPr>
                <w:spacing w:val="-1"/>
                <w:sz w:val="18"/>
              </w:rPr>
              <w:t> </w:t>
            </w:r>
            <w:r>
              <w:rPr>
                <w:sz w:val="18"/>
              </w:rPr>
              <w:t>adults,</w:t>
            </w:r>
          </w:p>
          <w:p>
            <w:pPr>
              <w:pStyle w:val="TableParagraph"/>
              <w:ind w:left="116" w:right="1685"/>
              <w:jc w:val="both"/>
              <w:rPr>
                <w:sz w:val="18"/>
              </w:rPr>
            </w:pPr>
            <w:r>
              <w:rPr>
                <w:sz w:val="18"/>
              </w:rPr>
              <w:t>adolescents, children and infants over 18 months of age</w:t>
            </w:r>
          </w:p>
          <w:p>
            <w:pPr>
              <w:pStyle w:val="TableParagraph"/>
              <w:spacing w:line="244" w:lineRule="auto" w:before="9"/>
              <w:ind w:left="2244" w:right="264"/>
              <w:jc w:val="both"/>
              <w:rPr>
                <w:sz w:val="18"/>
              </w:rPr>
            </w:pPr>
            <w:r>
              <w:rPr>
                <w:sz w:val="18"/>
              </w:rPr>
              <w:t>EIA (microplate) Manual method CLIA/ECL</w:t>
            </w:r>
          </w:p>
          <w:p>
            <w:pPr>
              <w:pStyle w:val="TableParagraph"/>
              <w:ind w:left="2244" w:right="557"/>
              <w:rPr>
                <w:sz w:val="18"/>
              </w:rPr>
            </w:pPr>
            <w:r>
              <w:rPr>
                <w:sz w:val="18"/>
              </w:rPr>
              <w:t>(automated instrument)</w:t>
            </w:r>
          </w:p>
        </w:tc>
        <w:tc>
          <w:tcPr>
            <w:tcW w:w="1846" w:type="dxa"/>
            <w:vMerge w:val="restart"/>
            <w:tcBorders>
              <w:top w:val="single" w:sz="4" w:space="0" w:color="000000"/>
              <w:left w:val="nil"/>
              <w:bottom w:val="single" w:sz="4" w:space="0" w:color="000000"/>
              <w:right w:val="nil"/>
            </w:tcBorders>
          </w:tcPr>
          <w:p>
            <w:pPr>
              <w:pStyle w:val="TableParagraph"/>
              <w:ind w:left="116" w:right="213"/>
              <w:rPr>
                <w:sz w:val="18"/>
              </w:rPr>
            </w:pPr>
            <w:r>
              <w:rPr>
                <w:sz w:val="18"/>
              </w:rPr>
              <w:t>Venous whole blood Plasma</w:t>
            </w:r>
          </w:p>
          <w:p>
            <w:pPr>
              <w:pStyle w:val="TableParagraph"/>
              <w:spacing w:line="219" w:lineRule="exact"/>
              <w:ind w:left="116"/>
              <w:rPr>
                <w:sz w:val="18"/>
              </w:rPr>
            </w:pPr>
            <w:r>
              <w:rPr>
                <w:sz w:val="18"/>
              </w:rPr>
              <w:t>Serum</w:t>
            </w:r>
          </w:p>
          <w:p>
            <w:pPr>
              <w:pStyle w:val="TableParagraph"/>
              <w:rPr>
                <w:rFonts w:ascii="Times New Roman"/>
                <w:sz w:val="18"/>
              </w:rPr>
            </w:pPr>
          </w:p>
          <w:p>
            <w:pPr>
              <w:pStyle w:val="TableParagraph"/>
              <w:rPr>
                <w:rFonts w:ascii="Times New Roman"/>
                <w:sz w:val="21"/>
              </w:rPr>
            </w:pPr>
          </w:p>
          <w:p>
            <w:pPr>
              <w:pStyle w:val="TableParagraph"/>
              <w:spacing w:line="242" w:lineRule="auto" w:before="1"/>
              <w:ind w:left="116" w:right="1207"/>
              <w:jc w:val="both"/>
              <w:rPr>
                <w:sz w:val="18"/>
              </w:rPr>
            </w:pPr>
            <w:r>
              <w:rPr>
                <w:sz w:val="18"/>
              </w:rPr>
              <w:t>Serum Plasma Serum Plasma</w:t>
            </w:r>
          </w:p>
        </w:tc>
        <w:tc>
          <w:tcPr>
            <w:tcW w:w="2564" w:type="dxa"/>
            <w:vMerge w:val="restart"/>
            <w:tcBorders>
              <w:top w:val="single" w:sz="4" w:space="0" w:color="000000"/>
              <w:left w:val="nil"/>
              <w:bottom w:val="single" w:sz="4" w:space="0" w:color="000000"/>
              <w:right w:val="single" w:sz="4" w:space="0" w:color="FFFFFF"/>
            </w:tcBorders>
          </w:tcPr>
          <w:p>
            <w:pPr>
              <w:pStyle w:val="TableParagraph"/>
              <w:ind w:left="111" w:right="145"/>
              <w:rPr>
                <w:sz w:val="18"/>
              </w:rPr>
            </w:pPr>
            <w:hyperlink r:id="rId83">
              <w:r>
                <w:rPr>
                  <w:color w:val="0462C1"/>
                  <w:sz w:val="18"/>
                  <w:u w:val="single" w:color="0462C1"/>
                </w:rPr>
                <w:t>http://www.who.int/diagnostic</w:t>
              </w:r>
            </w:hyperlink>
            <w:r>
              <w:rPr>
                <w:color w:val="0462C1"/>
                <w:sz w:val="18"/>
              </w:rPr>
              <w:t> </w:t>
            </w:r>
            <w:hyperlink r:id="rId83">
              <w:r>
                <w:rPr>
                  <w:color w:val="0462C1"/>
                  <w:sz w:val="18"/>
                  <w:u w:val="single" w:color="0462C1"/>
                </w:rPr>
                <w:t>s_laboratory/evaluations/pq-</w:t>
              </w:r>
            </w:hyperlink>
            <w:r>
              <w:rPr>
                <w:color w:val="0462C1"/>
                <w:sz w:val="18"/>
              </w:rPr>
              <w:t> </w:t>
            </w:r>
            <w:hyperlink r:id="rId83">
              <w:r>
                <w:rPr>
                  <w:color w:val="0462C1"/>
                  <w:sz w:val="18"/>
                  <w:u w:val="single" w:color="0462C1"/>
                </w:rPr>
                <w:t>list/self-testing_public-</w:t>
              </w:r>
            </w:hyperlink>
            <w:r>
              <w:rPr>
                <w:color w:val="0462C1"/>
                <w:sz w:val="18"/>
              </w:rPr>
              <w:t> </w:t>
            </w:r>
            <w:hyperlink r:id="rId83">
              <w:r>
                <w:rPr>
                  <w:color w:val="0462C1"/>
                  <w:sz w:val="18"/>
                  <w:u w:val="single" w:color="0462C1"/>
                </w:rPr>
                <w:t>report/en/</w:t>
              </w:r>
            </w:hyperlink>
          </w:p>
        </w:tc>
        <w:tc>
          <w:tcPr>
            <w:tcW w:w="3406" w:type="dxa"/>
            <w:tcBorders>
              <w:top w:val="single" w:sz="4" w:space="0" w:color="000000"/>
              <w:left w:val="single" w:sz="4" w:space="0" w:color="FFFFFF"/>
              <w:bottom w:val="single" w:sz="4" w:space="0" w:color="000000"/>
            </w:tcBorders>
          </w:tcPr>
          <w:p>
            <w:pPr>
              <w:pStyle w:val="TableParagraph"/>
              <w:ind w:left="110" w:right="123"/>
              <w:rPr>
                <w:sz w:val="18"/>
              </w:rPr>
            </w:pPr>
            <w:r>
              <w:rPr>
                <w:sz w:val="18"/>
              </w:rPr>
              <w:t>Guidelines on HIV self-testing and partner notification (2016) </w:t>
            </w:r>
            <w:hyperlink r:id="rId260">
              <w:r>
                <w:rPr>
                  <w:color w:val="0462C1"/>
                  <w:sz w:val="18"/>
                  <w:u w:val="single" w:color="0462C1"/>
                </w:rPr>
                <w:t>http://apps.who.int/iris/bitstream/handle/</w:t>
              </w:r>
            </w:hyperlink>
            <w:r>
              <w:rPr>
                <w:color w:val="0462C1"/>
                <w:sz w:val="18"/>
              </w:rPr>
              <w:t> </w:t>
            </w:r>
            <w:hyperlink r:id="rId260">
              <w:r>
                <w:rPr>
                  <w:color w:val="0462C1"/>
                  <w:sz w:val="18"/>
                  <w:u w:val="single" w:color="0462C1"/>
                </w:rPr>
                <w:t>10665/251655/9789241549868-</w:t>
              </w:r>
            </w:hyperlink>
          </w:p>
          <w:p>
            <w:pPr>
              <w:pStyle w:val="TableParagraph"/>
              <w:spacing w:line="199" w:lineRule="exact"/>
              <w:ind w:left="110"/>
              <w:rPr>
                <w:sz w:val="18"/>
              </w:rPr>
            </w:pPr>
            <w:hyperlink r:id="rId260">
              <w:r>
                <w:rPr>
                  <w:color w:val="0462C1"/>
                  <w:sz w:val="18"/>
                  <w:u w:val="single" w:color="0462C1"/>
                </w:rPr>
                <w:t>eng.pdf?sequence=1</w:t>
              </w:r>
            </w:hyperlink>
          </w:p>
        </w:tc>
      </w:tr>
      <w:tr>
        <w:trPr>
          <w:trHeight w:val="999" w:hRule="atLeast"/>
        </w:trPr>
        <w:tc>
          <w:tcPr>
            <w:tcW w:w="1125" w:type="dxa"/>
            <w:tcBorders>
              <w:top w:val="nil"/>
              <w:bottom w:val="nil"/>
              <w:right w:val="single" w:sz="12" w:space="0" w:color="FFFFFF"/>
            </w:tcBorders>
          </w:tcPr>
          <w:p>
            <w:pPr>
              <w:pStyle w:val="TableParagraph"/>
              <w:rPr>
                <w:rFonts w:ascii="Times New Roman"/>
                <w:sz w:val="18"/>
              </w:rPr>
            </w:pPr>
          </w:p>
        </w:tc>
        <w:tc>
          <w:tcPr>
            <w:tcW w:w="1823" w:type="dxa"/>
            <w:tcBorders>
              <w:top w:val="nil"/>
              <w:left w:val="single" w:sz="12" w:space="0" w:color="FFFFFF"/>
              <w:bottom w:val="nil"/>
              <w:right w:val="single" w:sz="4" w:space="0" w:color="FFFFFF"/>
            </w:tcBorders>
          </w:tcPr>
          <w:p>
            <w:pPr>
              <w:pStyle w:val="TableParagraph"/>
              <w:rPr>
                <w:rFonts w:ascii="Times New Roman"/>
                <w:sz w:val="18"/>
              </w:rPr>
            </w:pPr>
          </w:p>
        </w:tc>
        <w:tc>
          <w:tcPr>
            <w:tcW w:w="3693" w:type="dxa"/>
            <w:gridSpan w:val="2"/>
            <w:vMerge/>
            <w:tcBorders>
              <w:top w:val="nil"/>
              <w:left w:val="single" w:sz="4" w:space="0" w:color="FFFFFF"/>
              <w:bottom w:val="single" w:sz="4" w:space="0" w:color="000000"/>
              <w:right w:val="nil"/>
            </w:tcBorders>
          </w:tcPr>
          <w:p>
            <w:pPr>
              <w:rPr>
                <w:sz w:val="2"/>
                <w:szCs w:val="2"/>
              </w:rPr>
            </w:pPr>
          </w:p>
        </w:tc>
        <w:tc>
          <w:tcPr>
            <w:tcW w:w="1846" w:type="dxa"/>
            <w:vMerge/>
            <w:tcBorders>
              <w:top w:val="nil"/>
              <w:left w:val="nil"/>
              <w:bottom w:val="single" w:sz="4" w:space="0" w:color="000000"/>
              <w:right w:val="nil"/>
            </w:tcBorders>
          </w:tcPr>
          <w:p>
            <w:pPr>
              <w:rPr>
                <w:sz w:val="2"/>
                <w:szCs w:val="2"/>
              </w:rPr>
            </w:pPr>
          </w:p>
        </w:tc>
        <w:tc>
          <w:tcPr>
            <w:tcW w:w="2564" w:type="dxa"/>
            <w:vMerge/>
            <w:tcBorders>
              <w:top w:val="nil"/>
              <w:left w:val="nil"/>
              <w:bottom w:val="single" w:sz="4" w:space="0" w:color="000000"/>
              <w:right w:val="single" w:sz="4" w:space="0" w:color="FFFFFF"/>
            </w:tcBorders>
          </w:tcPr>
          <w:p>
            <w:pPr>
              <w:rPr>
                <w:sz w:val="2"/>
                <w:szCs w:val="2"/>
              </w:rPr>
            </w:pPr>
          </w:p>
        </w:tc>
        <w:tc>
          <w:tcPr>
            <w:tcW w:w="3406" w:type="dxa"/>
            <w:tcBorders>
              <w:top w:val="single" w:sz="4" w:space="0" w:color="000000"/>
              <w:left w:val="single" w:sz="4" w:space="0" w:color="FFFFFF"/>
              <w:bottom w:val="nil"/>
            </w:tcBorders>
          </w:tcPr>
          <w:p>
            <w:pPr>
              <w:pStyle w:val="TableParagraph"/>
              <w:spacing w:before="1"/>
              <w:ind w:left="110" w:right="130"/>
              <w:rPr>
                <w:sz w:val="18"/>
              </w:rPr>
            </w:pPr>
            <w:r>
              <w:rPr>
                <w:sz w:val="18"/>
              </w:rPr>
              <w:t>Consolidated guidelines on HIV testing services (July 2015) </w:t>
            </w:r>
            <w:hyperlink r:id="rId97">
              <w:r>
                <w:rPr>
                  <w:color w:val="0462C1"/>
                  <w:sz w:val="18"/>
                  <w:u w:val="single" w:color="0462C1"/>
                </w:rPr>
                <w:t>http://www.who.int/hiv/pub/guidelines/hi</w:t>
              </w:r>
            </w:hyperlink>
            <w:r>
              <w:rPr>
                <w:color w:val="0462C1"/>
                <w:sz w:val="18"/>
              </w:rPr>
              <w:t> </w:t>
            </w:r>
            <w:hyperlink r:id="rId97">
              <w:r>
                <w:rPr>
                  <w:color w:val="0462C1"/>
                  <w:sz w:val="18"/>
                  <w:u w:val="single" w:color="0462C1"/>
                </w:rPr>
                <w:t>v-testing-services/en/</w:t>
              </w:r>
            </w:hyperlink>
          </w:p>
        </w:tc>
      </w:tr>
      <w:tr>
        <w:trPr>
          <w:trHeight w:val="1409" w:hRule="atLeast"/>
        </w:trPr>
        <w:tc>
          <w:tcPr>
            <w:tcW w:w="1125" w:type="dxa"/>
            <w:tcBorders>
              <w:top w:val="nil"/>
              <w:bottom w:val="nil"/>
              <w:right w:val="single" w:sz="12" w:space="0" w:color="FFFFFF"/>
            </w:tcBorders>
          </w:tcPr>
          <w:p>
            <w:pPr>
              <w:pStyle w:val="TableParagraph"/>
              <w:rPr>
                <w:rFonts w:ascii="Times New Roman"/>
                <w:sz w:val="18"/>
              </w:rPr>
            </w:pPr>
          </w:p>
        </w:tc>
        <w:tc>
          <w:tcPr>
            <w:tcW w:w="1823" w:type="dxa"/>
            <w:tcBorders>
              <w:top w:val="nil"/>
              <w:left w:val="single" w:sz="12" w:space="0" w:color="FFFFFF"/>
              <w:bottom w:val="nil"/>
              <w:right w:val="single" w:sz="4" w:space="0" w:color="FFFFFF"/>
            </w:tcBorders>
          </w:tcPr>
          <w:p>
            <w:pPr>
              <w:pStyle w:val="TableParagraph"/>
              <w:rPr>
                <w:rFonts w:ascii="Times New Roman"/>
                <w:sz w:val="18"/>
              </w:rPr>
            </w:pPr>
          </w:p>
        </w:tc>
        <w:tc>
          <w:tcPr>
            <w:tcW w:w="3693" w:type="dxa"/>
            <w:gridSpan w:val="2"/>
            <w:vMerge/>
            <w:tcBorders>
              <w:top w:val="nil"/>
              <w:left w:val="single" w:sz="4" w:space="0" w:color="FFFFFF"/>
              <w:bottom w:val="single" w:sz="4" w:space="0" w:color="000000"/>
              <w:right w:val="nil"/>
            </w:tcBorders>
          </w:tcPr>
          <w:p>
            <w:pPr>
              <w:rPr>
                <w:sz w:val="2"/>
                <w:szCs w:val="2"/>
              </w:rPr>
            </w:pPr>
          </w:p>
        </w:tc>
        <w:tc>
          <w:tcPr>
            <w:tcW w:w="1846" w:type="dxa"/>
            <w:vMerge/>
            <w:tcBorders>
              <w:top w:val="nil"/>
              <w:left w:val="nil"/>
              <w:bottom w:val="single" w:sz="4" w:space="0" w:color="000000"/>
              <w:right w:val="nil"/>
            </w:tcBorders>
          </w:tcPr>
          <w:p>
            <w:pPr>
              <w:rPr>
                <w:sz w:val="2"/>
                <w:szCs w:val="2"/>
              </w:rPr>
            </w:pPr>
          </w:p>
        </w:tc>
        <w:tc>
          <w:tcPr>
            <w:tcW w:w="2564" w:type="dxa"/>
            <w:vMerge/>
            <w:tcBorders>
              <w:top w:val="nil"/>
              <w:left w:val="nil"/>
              <w:bottom w:val="single" w:sz="4" w:space="0" w:color="000000"/>
              <w:right w:val="single" w:sz="4" w:space="0" w:color="FFFFFF"/>
            </w:tcBorders>
          </w:tcPr>
          <w:p>
            <w:pPr>
              <w:rPr>
                <w:sz w:val="2"/>
                <w:szCs w:val="2"/>
              </w:rPr>
            </w:pPr>
          </w:p>
        </w:tc>
        <w:tc>
          <w:tcPr>
            <w:tcW w:w="3406" w:type="dxa"/>
            <w:tcBorders>
              <w:top w:val="nil"/>
              <w:left w:val="single" w:sz="4" w:space="0" w:color="FFFFFF"/>
              <w:bottom w:val="single" w:sz="4" w:space="0" w:color="000000"/>
            </w:tcBorders>
          </w:tcPr>
          <w:p>
            <w:pPr>
              <w:pStyle w:val="TableParagraph"/>
              <w:spacing w:before="88"/>
              <w:ind w:left="110" w:right="212"/>
              <w:rPr>
                <w:sz w:val="18"/>
              </w:rPr>
            </w:pPr>
            <w:r>
              <w:rPr>
                <w:sz w:val="18"/>
              </w:rPr>
              <w:t>WHO implementation tool for pre- exposure prophylaxis (PrEP) of HIV infection, module 10 for testing providers (2017)</w:t>
            </w:r>
          </w:p>
          <w:p>
            <w:pPr>
              <w:pStyle w:val="TableParagraph"/>
              <w:spacing w:line="219" w:lineRule="exact" w:before="2"/>
              <w:ind w:left="110"/>
              <w:rPr>
                <w:sz w:val="18"/>
              </w:rPr>
            </w:pPr>
            <w:hyperlink r:id="rId261">
              <w:r>
                <w:rPr>
                  <w:color w:val="0462C1"/>
                  <w:sz w:val="18"/>
                  <w:u w:val="single" w:color="0462C1"/>
                </w:rPr>
                <w:t>http://www.who.int/hiv/pub/prep/prep-</w:t>
              </w:r>
            </w:hyperlink>
          </w:p>
          <w:p>
            <w:pPr>
              <w:pStyle w:val="TableParagraph"/>
              <w:spacing w:line="201" w:lineRule="exact"/>
              <w:ind w:left="110"/>
              <w:rPr>
                <w:sz w:val="18"/>
              </w:rPr>
            </w:pPr>
            <w:hyperlink r:id="rId261">
              <w:r>
                <w:rPr>
                  <w:color w:val="0462C1"/>
                  <w:sz w:val="18"/>
                </w:rPr>
                <w:t>implementation-tool/en/</w:t>
              </w:r>
            </w:hyperlink>
          </w:p>
        </w:tc>
      </w:tr>
      <w:tr>
        <w:trPr>
          <w:trHeight w:val="1317" w:hRule="atLeast"/>
        </w:trPr>
        <w:tc>
          <w:tcPr>
            <w:tcW w:w="1125" w:type="dxa"/>
            <w:tcBorders>
              <w:top w:val="nil"/>
              <w:bottom w:val="nil"/>
              <w:right w:val="single" w:sz="12" w:space="0" w:color="FFFFFF"/>
            </w:tcBorders>
          </w:tcPr>
          <w:p>
            <w:pPr>
              <w:pStyle w:val="TableParagraph"/>
              <w:rPr>
                <w:rFonts w:ascii="Times New Roman"/>
                <w:sz w:val="18"/>
              </w:rPr>
            </w:pPr>
          </w:p>
        </w:tc>
        <w:tc>
          <w:tcPr>
            <w:tcW w:w="1823" w:type="dxa"/>
            <w:tcBorders>
              <w:top w:val="nil"/>
              <w:left w:val="single" w:sz="12" w:space="0" w:color="FFFFFF"/>
              <w:bottom w:val="single" w:sz="4" w:space="0" w:color="000000"/>
              <w:right w:val="single" w:sz="4" w:space="0" w:color="FFFFFF"/>
            </w:tcBorders>
          </w:tcPr>
          <w:p>
            <w:pPr>
              <w:pStyle w:val="TableParagraph"/>
              <w:rPr>
                <w:rFonts w:ascii="Times New Roman"/>
                <w:sz w:val="18"/>
              </w:rPr>
            </w:pPr>
          </w:p>
        </w:tc>
        <w:tc>
          <w:tcPr>
            <w:tcW w:w="3693" w:type="dxa"/>
            <w:gridSpan w:val="2"/>
            <w:tcBorders>
              <w:top w:val="single" w:sz="4" w:space="0" w:color="000000"/>
              <w:left w:val="single" w:sz="4" w:space="0" w:color="FFFFFF"/>
              <w:bottom w:val="single" w:sz="4" w:space="0" w:color="000000"/>
              <w:right w:val="nil"/>
            </w:tcBorders>
          </w:tcPr>
          <w:p>
            <w:pPr>
              <w:pStyle w:val="TableParagraph"/>
              <w:tabs>
                <w:tab w:pos="2243" w:val="left" w:leader="none"/>
              </w:tabs>
              <w:ind w:left="116" w:right="264"/>
              <w:jc w:val="both"/>
              <w:rPr>
                <w:sz w:val="18"/>
              </w:rPr>
            </w:pPr>
            <w:r>
              <w:rPr>
                <w:sz w:val="18"/>
              </w:rPr>
              <w:t>For screening for HIV in    EIA (microplate) the blood supply and in Manual method </w:t>
            </w:r>
            <w:r>
              <w:rPr>
                <w:position w:val="1"/>
                <w:sz w:val="18"/>
              </w:rPr>
              <w:t>blood</w:t>
            </w:r>
            <w:r>
              <w:rPr>
                <w:spacing w:val="-3"/>
                <w:position w:val="1"/>
                <w:sz w:val="18"/>
              </w:rPr>
              <w:t> </w:t>
            </w:r>
            <w:r>
              <w:rPr>
                <w:position w:val="1"/>
                <w:sz w:val="18"/>
              </w:rPr>
              <w:t>products</w:t>
              <w:tab/>
            </w:r>
            <w:r>
              <w:rPr>
                <w:sz w:val="18"/>
              </w:rPr>
              <w:t>CLIA/ECL</w:t>
            </w:r>
          </w:p>
          <w:p>
            <w:pPr>
              <w:pStyle w:val="TableParagraph"/>
              <w:ind w:left="2244" w:right="557"/>
              <w:rPr>
                <w:sz w:val="18"/>
              </w:rPr>
            </w:pPr>
            <w:r>
              <w:rPr>
                <w:sz w:val="18"/>
              </w:rPr>
              <w:t>(automated instrument)</w:t>
            </w:r>
          </w:p>
        </w:tc>
        <w:tc>
          <w:tcPr>
            <w:tcW w:w="1846" w:type="dxa"/>
            <w:tcBorders>
              <w:top w:val="single" w:sz="4" w:space="0" w:color="000000"/>
              <w:left w:val="nil"/>
              <w:bottom w:val="nil"/>
              <w:right w:val="nil"/>
            </w:tcBorders>
          </w:tcPr>
          <w:p>
            <w:pPr>
              <w:pStyle w:val="TableParagraph"/>
              <w:spacing w:line="244" w:lineRule="auto"/>
              <w:ind w:left="116" w:right="1207"/>
              <w:jc w:val="both"/>
              <w:rPr>
                <w:sz w:val="18"/>
              </w:rPr>
            </w:pPr>
            <w:r>
              <w:rPr>
                <w:sz w:val="18"/>
              </w:rPr>
              <w:t>Serum Plasma Serum Plasma</w:t>
            </w:r>
          </w:p>
        </w:tc>
        <w:tc>
          <w:tcPr>
            <w:tcW w:w="2564" w:type="dxa"/>
            <w:tcBorders>
              <w:top w:val="single" w:sz="4" w:space="0" w:color="000000"/>
              <w:left w:val="nil"/>
              <w:bottom w:val="single" w:sz="4" w:space="0" w:color="000000"/>
              <w:right w:val="single" w:sz="4" w:space="0" w:color="FFFFFF"/>
            </w:tcBorders>
          </w:tcPr>
          <w:p>
            <w:pPr>
              <w:pStyle w:val="TableParagraph"/>
              <w:spacing w:line="219" w:lineRule="exact"/>
              <w:ind w:left="111"/>
              <w:rPr>
                <w:sz w:val="18"/>
              </w:rPr>
            </w:pPr>
            <w:r>
              <w:rPr>
                <w:sz w:val="18"/>
              </w:rPr>
              <w:t>N/A</w:t>
            </w:r>
          </w:p>
        </w:tc>
        <w:tc>
          <w:tcPr>
            <w:tcW w:w="3406" w:type="dxa"/>
            <w:tcBorders>
              <w:top w:val="single" w:sz="4" w:space="0" w:color="000000"/>
              <w:left w:val="single" w:sz="4" w:space="0" w:color="FFFFFF"/>
              <w:bottom w:val="single" w:sz="4" w:space="0" w:color="000000"/>
            </w:tcBorders>
          </w:tcPr>
          <w:p>
            <w:pPr>
              <w:pStyle w:val="TableParagraph"/>
              <w:ind w:left="110" w:right="69"/>
              <w:rPr>
                <w:sz w:val="18"/>
              </w:rPr>
            </w:pPr>
            <w:r>
              <w:rPr>
                <w:sz w:val="18"/>
              </w:rPr>
              <w:t>Screening donated blood for transfusion transmissible infections: Recommendations (2009)</w:t>
            </w:r>
          </w:p>
          <w:p>
            <w:pPr>
              <w:pStyle w:val="TableParagraph"/>
              <w:ind w:left="110" w:right="104"/>
              <w:rPr>
                <w:sz w:val="18"/>
              </w:rPr>
            </w:pPr>
            <w:hyperlink r:id="rId262">
              <w:r>
                <w:rPr>
                  <w:color w:val="0462C1"/>
                  <w:sz w:val="18"/>
                  <w:u w:val="single" w:color="0462C1"/>
                </w:rPr>
                <w:t>http://apps.who.int/iris/bitstream/handle/</w:t>
              </w:r>
            </w:hyperlink>
            <w:r>
              <w:rPr>
                <w:color w:val="0462C1"/>
                <w:sz w:val="18"/>
              </w:rPr>
              <w:t> </w:t>
            </w:r>
            <w:hyperlink r:id="rId262">
              <w:r>
                <w:rPr>
                  <w:color w:val="0462C1"/>
                  <w:sz w:val="18"/>
                  <w:u w:val="single" w:color="0462C1"/>
                </w:rPr>
                <w:t>10665/44202/9789241547888_eng.pdf?se</w:t>
              </w:r>
            </w:hyperlink>
          </w:p>
          <w:p>
            <w:pPr>
              <w:pStyle w:val="TableParagraph"/>
              <w:spacing w:line="199" w:lineRule="exact"/>
              <w:ind w:left="110"/>
              <w:rPr>
                <w:sz w:val="18"/>
              </w:rPr>
            </w:pPr>
            <w:hyperlink r:id="rId262">
              <w:r>
                <w:rPr>
                  <w:color w:val="0462C1"/>
                  <w:sz w:val="18"/>
                </w:rPr>
                <w:t>quence=1&amp;isAllowed=y</w:t>
              </w:r>
            </w:hyperlink>
          </w:p>
        </w:tc>
      </w:tr>
      <w:tr>
        <w:trPr>
          <w:trHeight w:val="1778" w:hRule="atLeast"/>
        </w:trPr>
        <w:tc>
          <w:tcPr>
            <w:tcW w:w="1125" w:type="dxa"/>
            <w:vMerge w:val="restart"/>
            <w:tcBorders>
              <w:top w:val="nil"/>
              <w:bottom w:val="single" w:sz="4" w:space="0" w:color="000000"/>
              <w:right w:val="single" w:sz="12" w:space="0" w:color="FFFFFF"/>
            </w:tcBorders>
          </w:tcPr>
          <w:p>
            <w:pPr>
              <w:pStyle w:val="TableParagraph"/>
              <w:rPr>
                <w:rFonts w:ascii="Times New Roman"/>
                <w:sz w:val="18"/>
              </w:rPr>
            </w:pPr>
          </w:p>
        </w:tc>
        <w:tc>
          <w:tcPr>
            <w:tcW w:w="1823" w:type="dxa"/>
            <w:vMerge w:val="restart"/>
            <w:tcBorders>
              <w:top w:val="single" w:sz="4" w:space="0" w:color="000000"/>
              <w:left w:val="single" w:sz="12" w:space="0" w:color="FFFFFF"/>
              <w:bottom w:val="single" w:sz="4" w:space="0" w:color="000000"/>
              <w:right w:val="single" w:sz="4" w:space="0" w:color="FFFFFF"/>
            </w:tcBorders>
          </w:tcPr>
          <w:p>
            <w:pPr>
              <w:pStyle w:val="TableParagraph"/>
              <w:ind w:left="101" w:right="98"/>
              <w:rPr>
                <w:sz w:val="18"/>
              </w:rPr>
            </w:pPr>
            <w:r>
              <w:rPr>
                <w:sz w:val="18"/>
              </w:rPr>
              <w:t>Combined HIV antibody/p24 antigen (anti-HIV/p24 Ag) test</w:t>
            </w:r>
          </w:p>
        </w:tc>
        <w:tc>
          <w:tcPr>
            <w:tcW w:w="3693" w:type="dxa"/>
            <w:gridSpan w:val="2"/>
            <w:tcBorders>
              <w:top w:val="single" w:sz="4" w:space="0" w:color="000000"/>
              <w:left w:val="single" w:sz="4" w:space="0" w:color="FFFFFF"/>
              <w:bottom w:val="single" w:sz="4" w:space="0" w:color="000000"/>
              <w:right w:val="nil"/>
            </w:tcBorders>
          </w:tcPr>
          <w:p>
            <w:pPr>
              <w:pStyle w:val="TableParagraph"/>
              <w:tabs>
                <w:tab w:pos="2243" w:val="left" w:leader="none"/>
              </w:tabs>
              <w:ind w:left="116" w:right="1145"/>
              <w:rPr>
                <w:sz w:val="18"/>
              </w:rPr>
            </w:pPr>
            <w:r>
              <w:rPr>
                <w:sz w:val="18"/>
              </w:rPr>
              <w:t>For the diagnosis</w:t>
            </w:r>
            <w:r>
              <w:rPr>
                <w:spacing w:val="-5"/>
                <w:sz w:val="18"/>
              </w:rPr>
              <w:t> </w:t>
            </w:r>
            <w:r>
              <w:rPr>
                <w:sz w:val="18"/>
              </w:rPr>
              <w:t>of</w:t>
            </w:r>
            <w:r>
              <w:rPr>
                <w:spacing w:val="-1"/>
                <w:sz w:val="18"/>
              </w:rPr>
              <w:t> </w:t>
            </w:r>
            <w:r>
              <w:rPr>
                <w:sz w:val="18"/>
              </w:rPr>
              <w:t>HIV</w:t>
              <w:tab/>
            </w:r>
            <w:r>
              <w:rPr>
                <w:spacing w:val="-6"/>
                <w:sz w:val="18"/>
              </w:rPr>
              <w:t>RDT </w:t>
            </w:r>
            <w:r>
              <w:rPr>
                <w:sz w:val="18"/>
              </w:rPr>
              <w:t>infection:</w:t>
            </w:r>
            <w:r>
              <w:rPr>
                <w:spacing w:val="-1"/>
                <w:sz w:val="18"/>
              </w:rPr>
              <w:t> </w:t>
            </w:r>
            <w:r>
              <w:rPr>
                <w:sz w:val="18"/>
              </w:rPr>
              <w:t>adults,</w:t>
            </w:r>
          </w:p>
          <w:p>
            <w:pPr>
              <w:pStyle w:val="TableParagraph"/>
              <w:ind w:left="116"/>
              <w:rPr>
                <w:sz w:val="18"/>
              </w:rPr>
            </w:pPr>
            <w:r>
              <w:rPr>
                <w:sz w:val="18"/>
              </w:rPr>
              <w:t>adolescents, children and</w:t>
            </w:r>
          </w:p>
          <w:p>
            <w:pPr>
              <w:pStyle w:val="TableParagraph"/>
              <w:tabs>
                <w:tab w:pos="2243" w:val="left" w:leader="none"/>
              </w:tabs>
              <w:spacing w:line="230" w:lineRule="auto" w:before="6"/>
              <w:ind w:left="116" w:right="264"/>
              <w:rPr>
                <w:sz w:val="18"/>
              </w:rPr>
            </w:pPr>
            <w:r>
              <w:rPr>
                <w:position w:val="1"/>
                <w:sz w:val="18"/>
              </w:rPr>
              <w:t>infants over 18</w:t>
            </w:r>
            <w:r>
              <w:rPr>
                <w:spacing w:val="-4"/>
                <w:position w:val="1"/>
                <w:sz w:val="18"/>
              </w:rPr>
              <w:t> </w:t>
            </w:r>
            <w:r>
              <w:rPr>
                <w:position w:val="1"/>
                <w:sz w:val="18"/>
              </w:rPr>
              <w:t>months</w:t>
            </w:r>
            <w:r>
              <w:rPr>
                <w:spacing w:val="-2"/>
                <w:position w:val="1"/>
                <w:sz w:val="18"/>
              </w:rPr>
              <w:t> </w:t>
            </w:r>
            <w:r>
              <w:rPr>
                <w:position w:val="1"/>
                <w:sz w:val="18"/>
              </w:rPr>
              <w:t>of</w:t>
              <w:tab/>
            </w:r>
            <w:r>
              <w:rPr>
                <w:sz w:val="18"/>
              </w:rPr>
              <w:t>EIA </w:t>
            </w:r>
            <w:r>
              <w:rPr>
                <w:spacing w:val="-3"/>
                <w:sz w:val="18"/>
              </w:rPr>
              <w:t>(microplate) </w:t>
            </w:r>
            <w:r>
              <w:rPr>
                <w:position w:val="1"/>
                <w:sz w:val="18"/>
              </w:rPr>
              <w:t>age</w:t>
              <w:tab/>
            </w:r>
            <w:r>
              <w:rPr>
                <w:sz w:val="18"/>
              </w:rPr>
              <w:t>Manual</w:t>
            </w:r>
            <w:r>
              <w:rPr>
                <w:spacing w:val="-5"/>
                <w:sz w:val="18"/>
              </w:rPr>
              <w:t> </w:t>
            </w:r>
            <w:r>
              <w:rPr>
                <w:sz w:val="18"/>
              </w:rPr>
              <w:t>method</w:t>
            </w:r>
          </w:p>
          <w:p>
            <w:pPr>
              <w:pStyle w:val="TableParagraph"/>
              <w:spacing w:before="10"/>
              <w:ind w:left="2244"/>
              <w:rPr>
                <w:sz w:val="18"/>
              </w:rPr>
            </w:pPr>
            <w:r>
              <w:rPr>
                <w:sz w:val="18"/>
              </w:rPr>
              <w:t>CLIA/ECL</w:t>
            </w:r>
          </w:p>
          <w:p>
            <w:pPr>
              <w:pStyle w:val="TableParagraph"/>
              <w:spacing w:line="220" w:lineRule="atLeast" w:before="1"/>
              <w:ind w:left="2244" w:right="557"/>
              <w:rPr>
                <w:sz w:val="18"/>
              </w:rPr>
            </w:pPr>
            <w:r>
              <w:rPr>
                <w:sz w:val="18"/>
              </w:rPr>
              <w:t>(automated instrument)</w:t>
            </w:r>
          </w:p>
        </w:tc>
        <w:tc>
          <w:tcPr>
            <w:tcW w:w="1846" w:type="dxa"/>
            <w:tcBorders>
              <w:top w:val="nil"/>
              <w:left w:val="nil"/>
              <w:bottom w:val="single" w:sz="4" w:space="0" w:color="000000"/>
              <w:right w:val="nil"/>
            </w:tcBorders>
          </w:tcPr>
          <w:p>
            <w:pPr>
              <w:pStyle w:val="TableParagraph"/>
              <w:ind w:left="116" w:right="222"/>
              <w:rPr>
                <w:sz w:val="18"/>
              </w:rPr>
            </w:pPr>
            <w:r>
              <w:rPr>
                <w:sz w:val="18"/>
              </w:rPr>
              <w:t>Venous whole</w:t>
            </w:r>
            <w:r>
              <w:rPr>
                <w:spacing w:val="-9"/>
                <w:sz w:val="18"/>
              </w:rPr>
              <w:t> </w:t>
            </w:r>
            <w:r>
              <w:rPr>
                <w:sz w:val="18"/>
              </w:rPr>
              <w:t>blood Plasma</w:t>
            </w:r>
          </w:p>
          <w:p>
            <w:pPr>
              <w:pStyle w:val="TableParagraph"/>
              <w:spacing w:line="244" w:lineRule="auto"/>
              <w:ind w:left="116" w:right="1207"/>
              <w:jc w:val="both"/>
              <w:rPr>
                <w:sz w:val="18"/>
              </w:rPr>
            </w:pPr>
            <w:r>
              <w:rPr>
                <w:sz w:val="18"/>
              </w:rPr>
              <w:t>Serum Serum Plasma Serum Plasma</w:t>
            </w:r>
          </w:p>
        </w:tc>
        <w:tc>
          <w:tcPr>
            <w:tcW w:w="2564" w:type="dxa"/>
            <w:tcBorders>
              <w:top w:val="single" w:sz="4" w:space="0" w:color="000000"/>
              <w:left w:val="nil"/>
              <w:bottom w:val="single" w:sz="4" w:space="0" w:color="000000"/>
              <w:right w:val="single" w:sz="4" w:space="0" w:color="FFFFFF"/>
            </w:tcBorders>
          </w:tcPr>
          <w:p>
            <w:pPr>
              <w:pStyle w:val="TableParagraph"/>
              <w:ind w:left="111" w:right="145"/>
              <w:rPr>
                <w:sz w:val="18"/>
              </w:rPr>
            </w:pPr>
            <w:hyperlink r:id="rId96">
              <w:r>
                <w:rPr>
                  <w:color w:val="0462C1"/>
                  <w:sz w:val="18"/>
                  <w:u w:val="single" w:color="0462C1"/>
                </w:rPr>
                <w:t>http://www.who.int/diagnostic</w:t>
              </w:r>
            </w:hyperlink>
            <w:r>
              <w:rPr>
                <w:color w:val="0462C1"/>
                <w:sz w:val="18"/>
              </w:rPr>
              <w:t> </w:t>
            </w:r>
            <w:hyperlink r:id="rId96">
              <w:r>
                <w:rPr>
                  <w:color w:val="0462C1"/>
                  <w:sz w:val="18"/>
                  <w:u w:val="single" w:color="0462C1"/>
                </w:rPr>
                <w:t>s_laboratory/evaluations/pq-</w:t>
              </w:r>
            </w:hyperlink>
            <w:r>
              <w:rPr>
                <w:color w:val="0462C1"/>
                <w:sz w:val="18"/>
              </w:rPr>
              <w:t> </w:t>
            </w:r>
            <w:hyperlink r:id="rId96">
              <w:r>
                <w:rPr>
                  <w:color w:val="0462C1"/>
                  <w:sz w:val="18"/>
                  <w:u w:val="single" w:color="0462C1"/>
                </w:rPr>
                <w:t>list/hiv-rdts/public_report/en/</w:t>
              </w:r>
            </w:hyperlink>
          </w:p>
        </w:tc>
        <w:tc>
          <w:tcPr>
            <w:tcW w:w="3406" w:type="dxa"/>
            <w:tcBorders>
              <w:top w:val="single" w:sz="4" w:space="0" w:color="000000"/>
              <w:left w:val="single" w:sz="4" w:space="0" w:color="FFFFFF"/>
              <w:bottom w:val="single" w:sz="4" w:space="0" w:color="000000"/>
            </w:tcBorders>
          </w:tcPr>
          <w:p>
            <w:pPr>
              <w:pStyle w:val="TableParagraph"/>
              <w:ind w:left="110" w:right="104"/>
              <w:rPr>
                <w:sz w:val="18"/>
              </w:rPr>
            </w:pPr>
            <w:r>
              <w:rPr>
                <w:sz w:val="18"/>
              </w:rPr>
              <w:t>Consolidated guidelines on HIV testing services (2015) </w:t>
            </w:r>
            <w:hyperlink r:id="rId263">
              <w:r>
                <w:rPr>
                  <w:color w:val="0462C1"/>
                  <w:sz w:val="18"/>
                  <w:u w:val="single" w:color="0462C1"/>
                </w:rPr>
                <w:t>http://apps.who.int/iris/bitstream/handle/</w:t>
              </w:r>
            </w:hyperlink>
            <w:r>
              <w:rPr>
                <w:color w:val="0462C1"/>
                <w:sz w:val="18"/>
              </w:rPr>
              <w:t> </w:t>
            </w:r>
            <w:hyperlink r:id="rId263">
              <w:r>
                <w:rPr>
                  <w:color w:val="0462C1"/>
                  <w:sz w:val="18"/>
                  <w:u w:val="single" w:color="0462C1"/>
                </w:rPr>
                <w:t>10665/179870/9789241508926_eng.pdf?s</w:t>
              </w:r>
            </w:hyperlink>
          </w:p>
          <w:p>
            <w:pPr>
              <w:pStyle w:val="TableParagraph"/>
              <w:spacing w:before="1"/>
              <w:ind w:left="110"/>
              <w:rPr>
                <w:sz w:val="18"/>
              </w:rPr>
            </w:pPr>
            <w:hyperlink r:id="rId263">
              <w:r>
                <w:rPr>
                  <w:color w:val="0462C1"/>
                  <w:sz w:val="18"/>
                  <w:u w:val="single" w:color="0462C1"/>
                </w:rPr>
                <w:t>equence=1</w:t>
              </w:r>
            </w:hyperlink>
          </w:p>
        </w:tc>
      </w:tr>
      <w:tr>
        <w:trPr>
          <w:trHeight w:val="1149" w:hRule="atLeast"/>
        </w:trPr>
        <w:tc>
          <w:tcPr>
            <w:tcW w:w="1125" w:type="dxa"/>
            <w:vMerge/>
            <w:tcBorders>
              <w:top w:val="nil"/>
              <w:bottom w:val="single" w:sz="4" w:space="0" w:color="000000"/>
              <w:right w:val="single" w:sz="12" w:space="0" w:color="FFFFFF"/>
            </w:tcBorders>
          </w:tcPr>
          <w:p>
            <w:pPr>
              <w:rPr>
                <w:sz w:val="2"/>
                <w:szCs w:val="2"/>
              </w:rPr>
            </w:pPr>
          </w:p>
        </w:tc>
        <w:tc>
          <w:tcPr>
            <w:tcW w:w="1823" w:type="dxa"/>
            <w:vMerge/>
            <w:tcBorders>
              <w:top w:val="nil"/>
              <w:left w:val="single" w:sz="12" w:space="0" w:color="FFFFFF"/>
              <w:bottom w:val="single" w:sz="4" w:space="0" w:color="000000"/>
              <w:right w:val="single" w:sz="4" w:space="0" w:color="FFFFFF"/>
            </w:tcBorders>
          </w:tcPr>
          <w:p>
            <w:pPr>
              <w:rPr>
                <w:sz w:val="2"/>
                <w:szCs w:val="2"/>
              </w:rPr>
            </w:pPr>
          </w:p>
        </w:tc>
        <w:tc>
          <w:tcPr>
            <w:tcW w:w="2127" w:type="dxa"/>
            <w:tcBorders>
              <w:top w:val="single" w:sz="4" w:space="0" w:color="000000"/>
              <w:left w:val="single" w:sz="4" w:space="0" w:color="FFFFFF"/>
              <w:bottom w:val="single" w:sz="4" w:space="0" w:color="000000"/>
              <w:right w:val="nil"/>
            </w:tcBorders>
          </w:tcPr>
          <w:p>
            <w:pPr>
              <w:pStyle w:val="TableParagraph"/>
              <w:ind w:left="116" w:right="288"/>
              <w:jc w:val="both"/>
              <w:rPr>
                <w:sz w:val="18"/>
              </w:rPr>
            </w:pPr>
            <w:r>
              <w:rPr>
                <w:sz w:val="18"/>
              </w:rPr>
              <w:t>For screening for HIV in the blood supply and in blood products</w:t>
            </w:r>
          </w:p>
        </w:tc>
        <w:tc>
          <w:tcPr>
            <w:tcW w:w="1566" w:type="dxa"/>
            <w:tcBorders>
              <w:top w:val="single" w:sz="4" w:space="0" w:color="000000"/>
              <w:left w:val="nil"/>
              <w:bottom w:val="nil"/>
              <w:right w:val="nil"/>
            </w:tcBorders>
          </w:tcPr>
          <w:p>
            <w:pPr>
              <w:pStyle w:val="TableParagraph"/>
              <w:spacing w:line="247" w:lineRule="auto"/>
              <w:ind w:left="122" w:right="264"/>
              <w:jc w:val="both"/>
              <w:rPr>
                <w:sz w:val="18"/>
              </w:rPr>
            </w:pPr>
            <w:r>
              <w:rPr>
                <w:sz w:val="18"/>
              </w:rPr>
              <w:t>EIA (microplate) Manual method CLIA/ECL</w:t>
            </w:r>
          </w:p>
          <w:p>
            <w:pPr>
              <w:pStyle w:val="TableParagraph"/>
              <w:ind w:left="122" w:right="557"/>
              <w:rPr>
                <w:sz w:val="18"/>
              </w:rPr>
            </w:pPr>
            <w:r>
              <w:rPr>
                <w:sz w:val="18"/>
              </w:rPr>
              <w:t>(automated instrument)</w:t>
            </w:r>
          </w:p>
        </w:tc>
        <w:tc>
          <w:tcPr>
            <w:tcW w:w="1846" w:type="dxa"/>
            <w:tcBorders>
              <w:top w:val="single" w:sz="4" w:space="0" w:color="000000"/>
              <w:left w:val="nil"/>
              <w:bottom w:val="nil"/>
              <w:right w:val="nil"/>
            </w:tcBorders>
          </w:tcPr>
          <w:p>
            <w:pPr>
              <w:pStyle w:val="TableParagraph"/>
              <w:spacing w:line="244" w:lineRule="auto"/>
              <w:ind w:left="116" w:right="1207"/>
              <w:jc w:val="both"/>
              <w:rPr>
                <w:sz w:val="18"/>
              </w:rPr>
            </w:pPr>
            <w:r>
              <w:rPr>
                <w:sz w:val="18"/>
              </w:rPr>
              <w:t>Serum Plasma Serum Plasma</w:t>
            </w:r>
          </w:p>
        </w:tc>
        <w:tc>
          <w:tcPr>
            <w:tcW w:w="2564" w:type="dxa"/>
            <w:tcBorders>
              <w:top w:val="single" w:sz="4" w:space="0" w:color="000000"/>
              <w:left w:val="nil"/>
              <w:bottom w:val="nil"/>
              <w:right w:val="single" w:sz="4" w:space="0" w:color="FFFFFF"/>
            </w:tcBorders>
          </w:tcPr>
          <w:p>
            <w:pPr>
              <w:pStyle w:val="TableParagraph"/>
              <w:spacing w:line="219" w:lineRule="exact"/>
              <w:ind w:left="111"/>
              <w:rPr>
                <w:sz w:val="18"/>
              </w:rPr>
            </w:pPr>
            <w:r>
              <w:rPr>
                <w:sz w:val="18"/>
              </w:rPr>
              <w:t>N/A</w:t>
            </w:r>
          </w:p>
        </w:tc>
        <w:tc>
          <w:tcPr>
            <w:tcW w:w="3406" w:type="dxa"/>
            <w:tcBorders>
              <w:top w:val="single" w:sz="4" w:space="0" w:color="000000"/>
              <w:left w:val="single" w:sz="4" w:space="0" w:color="FFFFFF"/>
              <w:bottom w:val="single" w:sz="4" w:space="0" w:color="000000"/>
            </w:tcBorders>
          </w:tcPr>
          <w:p>
            <w:pPr>
              <w:pStyle w:val="TableParagraph"/>
              <w:ind w:left="110" w:right="69"/>
              <w:rPr>
                <w:sz w:val="18"/>
              </w:rPr>
            </w:pPr>
            <w:r>
              <w:rPr>
                <w:sz w:val="18"/>
              </w:rPr>
              <w:t>Screening donated blood for transfusion transmissible infections: Recommendations (2009</w:t>
            </w:r>
            <w:r>
              <w:rPr>
                <w:sz w:val="22"/>
              </w:rPr>
              <w:t>)</w:t>
            </w:r>
            <w:hyperlink r:id="rId262">
              <w:r>
                <w:rPr>
                  <w:color w:val="0462C1"/>
                  <w:sz w:val="18"/>
                  <w:u w:val="single" w:color="0462C1"/>
                </w:rPr>
                <w:t>http://apps.who.int/iris/bitstream/h</w:t>
              </w:r>
            </w:hyperlink>
            <w:r>
              <w:rPr>
                <w:color w:val="0462C1"/>
                <w:sz w:val="18"/>
              </w:rPr>
              <w:t> </w:t>
            </w:r>
            <w:hyperlink r:id="rId262">
              <w:r>
                <w:rPr>
                  <w:color w:val="0462C1"/>
                  <w:sz w:val="18"/>
                  <w:u w:val="single" w:color="0462C1"/>
                </w:rPr>
                <w:t>andle/10665/44202/9789241547888_eng.</w:t>
              </w:r>
            </w:hyperlink>
          </w:p>
          <w:p>
            <w:pPr>
              <w:pStyle w:val="TableParagraph"/>
              <w:spacing w:line="202" w:lineRule="exact"/>
              <w:ind w:left="110"/>
              <w:rPr>
                <w:sz w:val="18"/>
              </w:rPr>
            </w:pPr>
            <w:hyperlink r:id="rId262">
              <w:r>
                <w:rPr>
                  <w:color w:val="0462C1"/>
                  <w:sz w:val="18"/>
                </w:rPr>
                <w:t>pdf?sequence=1&amp;isAllowed=y</w:t>
              </w:r>
            </w:hyperlink>
          </w:p>
        </w:tc>
      </w:tr>
    </w:tbl>
    <w:p>
      <w:pPr>
        <w:spacing w:after="0" w:line="202" w:lineRule="exact"/>
        <w:rPr>
          <w:sz w:val="18"/>
        </w:rPr>
        <w:sectPr>
          <w:headerReference w:type="default" r:id="rId242"/>
          <w:footerReference w:type="default" r:id="rId243"/>
          <w:pgSz w:w="16840" w:h="11910" w:orient="landscape"/>
          <w:pgMar w:header="0" w:footer="575" w:top="1100" w:bottom="760" w:left="1180" w:right="920"/>
          <w:pgNumType w:start="21"/>
        </w:sectPr>
      </w:pPr>
    </w:p>
    <w:p>
      <w:pPr>
        <w:pStyle w:val="BodyText"/>
        <w:rPr>
          <w:rFonts w:ascii="Times New Roman"/>
          <w:sz w:val="29"/>
        </w:rPr>
      </w:pPr>
      <w:r>
        <w:rPr/>
        <w:pict>
          <v:group style="position:absolute;margin-left:122.300003pt;margin-top:98.660004pt;width:.5pt;height:115pt;mso-position-horizontal-relative:page;mso-position-vertical-relative:page;z-index:-122440" coordorigin="2446,1973" coordsize="10,2300">
            <v:shape style="position:absolute;left:2446;top:1973;width:10;height:512" type="#_x0000_t75" stroked="false">
              <v:imagedata r:id="rId266" o:title=""/>
            </v:shape>
            <v:shape style="position:absolute;left:2446;top:2484;width:10;height:10" type="#_x0000_t75" stroked="false">
              <v:imagedata r:id="rId267" o:title=""/>
            </v:shape>
            <v:shape style="position:absolute;left:2446;top:2494;width:10;height:1110" type="#_x0000_t75" stroked="false">
              <v:imagedata r:id="rId268" o:title=""/>
            </v:shape>
            <v:shape style="position:absolute;left:2446;top:3603;width:10;height:670" type="#_x0000_t75" stroked="false">
              <v:imagedata r:id="rId159" o:title=""/>
            </v:shape>
            <w10:wrap type="none"/>
          </v:group>
        </w:pict>
      </w:r>
      <w:r>
        <w:rPr/>
        <w:pict>
          <v:group style="position:absolute;margin-left:213.740005pt;margin-top:98.660004pt;width:.5pt;height:115pt;mso-position-horizontal-relative:page;mso-position-vertical-relative:page;z-index:-122416" coordorigin="4275,1973" coordsize="10,2300">
            <v:shape style="position:absolute;left:4274;top:1973;width:10;height:512" type="#_x0000_t75" stroked="false">
              <v:imagedata r:id="rId266" o:title=""/>
            </v:shape>
            <v:shape style="position:absolute;left:4274;top:2484;width:10;height:10" type="#_x0000_t75" stroked="false">
              <v:imagedata r:id="rId267" o:title=""/>
            </v:shape>
            <v:shape style="position:absolute;left:4274;top:2494;width:10;height:1100" type="#_x0000_t75" stroked="false">
              <v:imagedata r:id="rId269" o:title=""/>
            </v:shape>
            <v:shape style="position:absolute;left:4274;top:3593;width:10;height:10" type="#_x0000_t75" stroked="false">
              <v:imagedata r:id="rId270" o:title=""/>
            </v:shape>
            <v:shape style="position:absolute;left:4274;top:3603;width:10;height:660" type="#_x0000_t75" stroked="false">
              <v:imagedata r:id="rId167" o:title=""/>
            </v:shape>
            <v:shape style="position:absolute;left:4274;top:4263;width:10;height:10" type="#_x0000_t75" stroked="false">
              <v:imagedata r:id="rId271" o:title=""/>
            </v:shape>
            <w10:wrap type="none"/>
          </v:group>
        </w:pict>
      </w:r>
      <w:r>
        <w:rPr/>
        <w:pict>
          <v:group style="position:absolute;margin-left:320.089996pt;margin-top:98.660004pt;width:170.55pt;height:249.45pt;mso-position-horizontal-relative:page;mso-position-vertical-relative:page;z-index:-122392" coordorigin="6402,1973" coordsize="3411,4989">
            <v:shape style="position:absolute;left:9803;top:1973;width:10;height:512" type="#_x0000_t75" stroked="false">
              <v:imagedata r:id="rId266" o:title=""/>
            </v:shape>
            <v:shape style="position:absolute;left:9803;top:2484;width:10;height:1110" type="#_x0000_t75" stroked="false">
              <v:imagedata r:id="rId272" o:title=""/>
            </v:shape>
            <v:shape style="position:absolute;left:9803;top:3593;width:10;height:670" type="#_x0000_t75" stroked="false">
              <v:imagedata r:id="rId273" o:title=""/>
            </v:shape>
            <v:shape style="position:absolute;left:9803;top:4263;width:10;height:845" type="#_x0000_t75" stroked="false">
              <v:imagedata r:id="rId274" o:title=""/>
            </v:shape>
            <v:shape style="position:absolute;left:6401;top:1973;width:1570;height:521" type="#_x0000_t75" stroked="false">
              <v:imagedata r:id="rId275" o:title=""/>
            </v:shape>
            <v:shape style="position:absolute;left:7962;top:2494;width:10;height:1100" type="#_x0000_t75" stroked="false">
              <v:imagedata r:id="rId269" o:title=""/>
            </v:shape>
            <v:shape style="position:absolute;left:7962;top:3593;width:10;height:10" type="#_x0000_t75" stroked="false">
              <v:imagedata r:id="rId276" o:title=""/>
            </v:shape>
            <v:shape style="position:absolute;left:7962;top:3603;width:10;height:660" type="#_x0000_t75" stroked="false">
              <v:imagedata r:id="rId167" o:title=""/>
            </v:shape>
            <v:shape style="position:absolute;left:7962;top:4263;width:10;height:10" type="#_x0000_t75" stroked="false">
              <v:imagedata r:id="rId277" o:title=""/>
            </v:shape>
            <v:shape style="position:absolute;left:7962;top:4273;width:10;height:836" type="#_x0000_t75" stroked="false">
              <v:imagedata r:id="rId278" o:title=""/>
            </v:shape>
            <v:shape style="position:absolute;left:7962;top:5108;width:10;height:10" type="#_x0000_t75" stroked="false">
              <v:imagedata r:id="rId277" o:title=""/>
            </v:shape>
            <v:shape style="position:absolute;left:6401;top:2494;width:3411;height:4468" type="#_x0000_t75" stroked="false">
              <v:imagedata r:id="rId279" o:title=""/>
            </v:shape>
            <v:shape style="position:absolute;left:7962;top:6008;width:10;height:953" type="#_x0000_t75" stroked="false">
              <v:imagedata r:id="rId280" o:title=""/>
            </v:shape>
            <v:shape style="position:absolute;left:9803;top:6008;width:10;height:953" type="#_x0000_t75" stroked="false">
              <v:imagedata r:id="rId280" o:title=""/>
            </v:shape>
            <w10:wrap type="none"/>
          </v:group>
        </w:pict>
      </w:r>
      <w:r>
        <w:rPr/>
        <w:pict>
          <v:group style="position:absolute;margin-left:618.580017pt;margin-top:98.660004pt;width:.5pt;height:157.25pt;mso-position-horizontal-relative:page;mso-position-vertical-relative:page;z-index:-122368" coordorigin="12372,1973" coordsize="10,3145">
            <v:shape style="position:absolute;left:12371;top:1973;width:10;height:521" type="#_x0000_t75" stroked="false">
              <v:imagedata r:id="rId281" o:title=""/>
            </v:shape>
            <v:shape style="position:absolute;left:12371;top:2494;width:10;height:2624" type="#_x0000_t75" stroked="false">
              <v:imagedata r:id="rId282" o:title=""/>
            </v:shape>
            <w10:wrap type="none"/>
          </v:group>
        </w:pict>
      </w:r>
      <w:r>
        <w:rPr/>
        <w:pict>
          <v:line style="position:absolute;mso-position-horizontal-relative:page;mso-position-vertical-relative:page;z-index:-122344" from="495.790009pt,211.910004pt" to="602.250009pt,211.910004pt" stroked="true" strokeweight=".600010pt" strokecolor="#0462c1">
            <v:stroke dashstyle="solid"/>
            <w10:wrap type="none"/>
          </v:line>
        </w:pic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4"/>
        <w:gridCol w:w="1824"/>
        <w:gridCol w:w="2127"/>
        <w:gridCol w:w="1561"/>
        <w:gridCol w:w="1842"/>
        <w:gridCol w:w="2565"/>
        <w:gridCol w:w="3409"/>
      </w:tblGrid>
      <w:tr>
        <w:trPr>
          <w:trHeight w:val="513" w:hRule="atLeast"/>
        </w:trPr>
        <w:tc>
          <w:tcPr>
            <w:tcW w:w="14452" w:type="dxa"/>
            <w:gridSpan w:val="7"/>
            <w:tcBorders>
              <w:top w:val="single" w:sz="4" w:space="0" w:color="000000"/>
              <w:left w:val="single" w:sz="12" w:space="0" w:color="000000"/>
              <w:bottom w:val="single" w:sz="4" w:space="0" w:color="000000"/>
              <w:right w:val="single" w:sz="12" w:space="0" w:color="000000"/>
            </w:tcBorders>
            <w:shd w:val="clear" w:color="auto" w:fill="E7E6E6"/>
          </w:tcPr>
          <w:p>
            <w:pPr>
              <w:pStyle w:val="TableParagraph"/>
              <w:spacing w:line="292" w:lineRule="exact"/>
              <w:ind w:left="107"/>
              <w:rPr>
                <w:b/>
                <w:sz w:val="24"/>
              </w:rPr>
            </w:pPr>
            <w:r>
              <w:rPr>
                <w:b/>
                <w:sz w:val="22"/>
              </w:rPr>
              <w:t>II.b </w:t>
            </w:r>
            <w:r>
              <w:rPr>
                <w:b/>
                <w:sz w:val="24"/>
              </w:rPr>
              <w:t>Disease-specific IVDs for health care facilities with clinical laboratories</w:t>
            </w:r>
          </w:p>
        </w:tc>
      </w:tr>
      <w:tr>
        <w:trPr>
          <w:trHeight w:val="510" w:hRule="atLeast"/>
        </w:trPr>
        <w:tc>
          <w:tcPr>
            <w:tcW w:w="1124" w:type="dxa"/>
            <w:tcBorders>
              <w:top w:val="single" w:sz="4" w:space="0" w:color="000000"/>
              <w:left w:val="single" w:sz="12" w:space="0" w:color="000000"/>
              <w:bottom w:val="single" w:sz="4" w:space="0" w:color="000000"/>
            </w:tcBorders>
            <w:shd w:val="clear" w:color="auto" w:fill="E7E6E6"/>
          </w:tcPr>
          <w:p>
            <w:pPr>
              <w:pStyle w:val="TableParagraph"/>
              <w:rPr>
                <w:rFonts w:ascii="Times New Roman"/>
                <w:sz w:val="18"/>
              </w:rPr>
            </w:pPr>
          </w:p>
        </w:tc>
        <w:tc>
          <w:tcPr>
            <w:tcW w:w="1824" w:type="dxa"/>
            <w:tcBorders>
              <w:top w:val="single" w:sz="4" w:space="0" w:color="000000"/>
              <w:bottom w:val="single" w:sz="4" w:space="0" w:color="000000"/>
            </w:tcBorders>
            <w:shd w:val="clear" w:color="auto" w:fill="E7E6E6"/>
          </w:tcPr>
          <w:p>
            <w:pPr>
              <w:pStyle w:val="TableParagraph"/>
              <w:spacing w:line="194" w:lineRule="exact"/>
              <w:ind w:left="117"/>
              <w:rPr>
                <w:b/>
                <w:sz w:val="16"/>
              </w:rPr>
            </w:pPr>
            <w:r>
              <w:rPr>
                <w:b/>
                <w:sz w:val="16"/>
              </w:rPr>
              <w:t>Diagnostic test</w:t>
            </w:r>
          </w:p>
        </w:tc>
        <w:tc>
          <w:tcPr>
            <w:tcW w:w="2127" w:type="dxa"/>
            <w:tcBorders>
              <w:top w:val="single" w:sz="4" w:space="0" w:color="000000"/>
              <w:bottom w:val="single" w:sz="4" w:space="0" w:color="000000"/>
            </w:tcBorders>
            <w:shd w:val="clear" w:color="auto" w:fill="E7E6E6"/>
          </w:tcPr>
          <w:p>
            <w:pPr>
              <w:pStyle w:val="TableParagraph"/>
              <w:spacing w:line="194" w:lineRule="exact"/>
              <w:ind w:left="121"/>
              <w:rPr>
                <w:b/>
                <w:sz w:val="16"/>
              </w:rPr>
            </w:pPr>
            <w:r>
              <w:rPr>
                <w:b/>
                <w:sz w:val="16"/>
              </w:rPr>
              <w:t>Test purpose</w:t>
            </w:r>
          </w:p>
        </w:tc>
        <w:tc>
          <w:tcPr>
            <w:tcW w:w="1561" w:type="dxa"/>
            <w:tcBorders>
              <w:top w:val="single" w:sz="4" w:space="0" w:color="000000"/>
            </w:tcBorders>
            <w:shd w:val="clear" w:color="auto" w:fill="E7E6E6"/>
          </w:tcPr>
          <w:p>
            <w:pPr>
              <w:pStyle w:val="TableParagraph"/>
              <w:spacing w:line="194" w:lineRule="exact"/>
              <w:ind w:left="122"/>
              <w:rPr>
                <w:b/>
                <w:sz w:val="16"/>
              </w:rPr>
            </w:pPr>
            <w:r>
              <w:rPr>
                <w:b/>
                <w:sz w:val="16"/>
              </w:rPr>
              <w:t>Assay format</w:t>
            </w:r>
          </w:p>
        </w:tc>
        <w:tc>
          <w:tcPr>
            <w:tcW w:w="1842" w:type="dxa"/>
            <w:tcBorders>
              <w:top w:val="single" w:sz="4" w:space="0" w:color="000000"/>
              <w:bottom w:val="single" w:sz="4" w:space="0" w:color="000000"/>
            </w:tcBorders>
            <w:shd w:val="clear" w:color="auto" w:fill="E7E6E6"/>
          </w:tcPr>
          <w:p>
            <w:pPr>
              <w:pStyle w:val="TableParagraph"/>
              <w:spacing w:line="194" w:lineRule="exact"/>
              <w:ind w:left="121"/>
              <w:rPr>
                <w:b/>
                <w:sz w:val="16"/>
              </w:rPr>
            </w:pPr>
            <w:r>
              <w:rPr>
                <w:b/>
                <w:sz w:val="16"/>
              </w:rPr>
              <w:t>Specimen type</w:t>
            </w:r>
          </w:p>
        </w:tc>
        <w:tc>
          <w:tcPr>
            <w:tcW w:w="2565" w:type="dxa"/>
            <w:tcBorders>
              <w:top w:val="single" w:sz="4" w:space="0" w:color="000000"/>
              <w:bottom w:val="single" w:sz="4" w:space="0" w:color="000000"/>
            </w:tcBorders>
            <w:shd w:val="clear" w:color="auto" w:fill="E7E6E6"/>
          </w:tcPr>
          <w:p>
            <w:pPr>
              <w:pStyle w:val="TableParagraph"/>
              <w:ind w:left="120" w:right="385"/>
              <w:rPr>
                <w:b/>
                <w:sz w:val="16"/>
              </w:rPr>
            </w:pPr>
            <w:r>
              <w:rPr>
                <w:b/>
                <w:sz w:val="16"/>
              </w:rPr>
              <w:t>WHO prequalified or endorsed products</w:t>
            </w:r>
          </w:p>
        </w:tc>
        <w:tc>
          <w:tcPr>
            <w:tcW w:w="3409" w:type="dxa"/>
            <w:tcBorders>
              <w:top w:val="single" w:sz="4" w:space="0" w:color="000000"/>
              <w:bottom w:val="single" w:sz="4" w:space="0" w:color="000000"/>
              <w:right w:val="single" w:sz="12" w:space="0" w:color="000000"/>
            </w:tcBorders>
            <w:shd w:val="clear" w:color="auto" w:fill="E7E6E6"/>
          </w:tcPr>
          <w:p>
            <w:pPr>
              <w:pStyle w:val="TableParagraph"/>
              <w:spacing w:line="194" w:lineRule="exact"/>
              <w:ind w:left="123"/>
              <w:rPr>
                <w:b/>
                <w:sz w:val="16"/>
              </w:rPr>
            </w:pPr>
            <w:r>
              <w:rPr>
                <w:b/>
                <w:sz w:val="16"/>
              </w:rPr>
              <w:t>WHO supporting documents</w:t>
            </w:r>
          </w:p>
        </w:tc>
      </w:tr>
      <w:tr>
        <w:trPr>
          <w:trHeight w:val="1104" w:hRule="atLeast"/>
        </w:trPr>
        <w:tc>
          <w:tcPr>
            <w:tcW w:w="1124" w:type="dxa"/>
            <w:vMerge w:val="restart"/>
            <w:tcBorders>
              <w:top w:val="single" w:sz="4" w:space="0" w:color="000000"/>
              <w:left w:val="single" w:sz="12" w:space="0" w:color="000000"/>
              <w:bottom w:val="single" w:sz="12" w:space="0" w:color="000000"/>
            </w:tcBorders>
          </w:tcPr>
          <w:p>
            <w:pPr>
              <w:pStyle w:val="TableParagraph"/>
              <w:spacing w:line="219" w:lineRule="exact"/>
              <w:ind w:left="107"/>
              <w:rPr>
                <w:sz w:val="18"/>
              </w:rPr>
            </w:pPr>
            <w:r>
              <w:rPr>
                <w:sz w:val="18"/>
              </w:rPr>
              <w:t>HIV</w:t>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after="1"/>
              <w:rPr>
                <w:rFonts w:ascii="Times New Roman"/>
                <w:sz w:val="15"/>
              </w:rPr>
            </w:pPr>
          </w:p>
          <w:p>
            <w:pPr>
              <w:pStyle w:val="TableParagraph"/>
              <w:ind w:left="1113" w:right="-58"/>
              <w:rPr>
                <w:rFonts w:ascii="Times New Roman"/>
                <w:sz w:val="20"/>
              </w:rPr>
            </w:pPr>
            <w:r>
              <w:rPr>
                <w:rFonts w:ascii="Times New Roman"/>
                <w:sz w:val="20"/>
              </w:rPr>
              <w:drawing>
                <wp:inline distT="0" distB="0" distL="0" distR="0">
                  <wp:extent cx="6080" cy="535114"/>
                  <wp:effectExtent l="0" t="0" r="0" b="0"/>
                  <wp:docPr id="37" name="image212.png" descr=""/>
                  <wp:cNvGraphicFramePr>
                    <a:graphicFrameLocks noChangeAspect="1"/>
                  </wp:cNvGraphicFramePr>
                  <a:graphic>
                    <a:graphicData uri="http://schemas.openxmlformats.org/drawingml/2006/picture">
                      <pic:pic>
                        <pic:nvPicPr>
                          <pic:cNvPr id="38" name="image212.png"/>
                          <pic:cNvPicPr/>
                        </pic:nvPicPr>
                        <pic:blipFill>
                          <a:blip r:embed="rId283" cstate="print"/>
                          <a:stretch>
                            <a:fillRect/>
                          </a:stretch>
                        </pic:blipFill>
                        <pic:spPr>
                          <a:xfrm>
                            <a:off x="0" y="0"/>
                            <a:ext cx="6080" cy="535114"/>
                          </a:xfrm>
                          <a:prstGeom prst="rect">
                            <a:avLst/>
                          </a:prstGeom>
                        </pic:spPr>
                      </pic:pic>
                    </a:graphicData>
                  </a:graphic>
                </wp:inline>
              </w:drawing>
            </w:r>
            <w:r>
              <w:rPr>
                <w:rFonts w:ascii="Times New Roman"/>
                <w:sz w:val="20"/>
              </w:rPr>
            </w:r>
          </w:p>
          <w:p>
            <w:pPr>
              <w:pStyle w:val="TableParagraph"/>
              <w:ind w:left="1113" w:right="-58"/>
              <w:rPr>
                <w:rFonts w:ascii="Times New Roman"/>
                <w:sz w:val="20"/>
              </w:rPr>
            </w:pPr>
            <w:r>
              <w:rPr>
                <w:rFonts w:ascii="Times New Roman"/>
                <w:sz w:val="20"/>
              </w:rPr>
              <w:drawing>
                <wp:inline distT="0" distB="0" distL="0" distR="0">
                  <wp:extent cx="6046" cy="1161097"/>
                  <wp:effectExtent l="0" t="0" r="0" b="0"/>
                  <wp:docPr id="39" name="image213.png" descr=""/>
                  <wp:cNvGraphicFramePr>
                    <a:graphicFrameLocks noChangeAspect="1"/>
                  </wp:cNvGraphicFramePr>
                  <a:graphic>
                    <a:graphicData uri="http://schemas.openxmlformats.org/drawingml/2006/picture">
                      <pic:pic>
                        <pic:nvPicPr>
                          <pic:cNvPr id="40" name="image213.png"/>
                          <pic:cNvPicPr/>
                        </pic:nvPicPr>
                        <pic:blipFill>
                          <a:blip r:embed="rId284" cstate="print"/>
                          <a:stretch>
                            <a:fillRect/>
                          </a:stretch>
                        </pic:blipFill>
                        <pic:spPr>
                          <a:xfrm>
                            <a:off x="0" y="0"/>
                            <a:ext cx="6046" cy="1161097"/>
                          </a:xfrm>
                          <a:prstGeom prst="rect">
                            <a:avLst/>
                          </a:prstGeom>
                        </pic:spPr>
                      </pic:pic>
                    </a:graphicData>
                  </a:graphic>
                </wp:inline>
              </w:drawing>
            </w:r>
            <w:r>
              <w:rPr>
                <w:rFonts w:ascii="Times New Roman"/>
                <w:sz w:val="20"/>
              </w:rPr>
            </w:r>
          </w:p>
        </w:tc>
        <w:tc>
          <w:tcPr>
            <w:tcW w:w="1824" w:type="dxa"/>
            <w:tcBorders>
              <w:top w:val="single" w:sz="4" w:space="0" w:color="000000"/>
            </w:tcBorders>
          </w:tcPr>
          <w:p>
            <w:pPr>
              <w:pStyle w:val="TableParagraph"/>
              <w:ind w:left="117" w:right="609"/>
              <w:rPr>
                <w:sz w:val="18"/>
              </w:rPr>
            </w:pPr>
            <w:r>
              <w:rPr>
                <w:sz w:val="18"/>
              </w:rPr>
              <w:t>HIV qualitative virological or quantitative virological</w:t>
            </w:r>
          </w:p>
        </w:tc>
        <w:tc>
          <w:tcPr>
            <w:tcW w:w="2127" w:type="dxa"/>
            <w:tcBorders>
              <w:top w:val="single" w:sz="4" w:space="0" w:color="000000"/>
            </w:tcBorders>
          </w:tcPr>
          <w:p>
            <w:pPr>
              <w:pStyle w:val="TableParagraph"/>
              <w:ind w:left="121" w:right="142"/>
              <w:rPr>
                <w:sz w:val="18"/>
              </w:rPr>
            </w:pPr>
            <w:r>
              <w:rPr>
                <w:sz w:val="18"/>
              </w:rPr>
              <w:t>For the diagnosis of HIV infection in infants under 18 months of age</w:t>
            </w:r>
          </w:p>
        </w:tc>
        <w:tc>
          <w:tcPr>
            <w:tcW w:w="1561" w:type="dxa"/>
          </w:tcPr>
          <w:p>
            <w:pPr>
              <w:pStyle w:val="TableParagraph"/>
              <w:spacing w:line="219" w:lineRule="exact"/>
              <w:ind w:left="122"/>
              <w:rPr>
                <w:sz w:val="18"/>
              </w:rPr>
            </w:pPr>
            <w:r>
              <w:rPr>
                <w:sz w:val="18"/>
              </w:rPr>
              <w:t>NAT</w:t>
            </w:r>
          </w:p>
        </w:tc>
        <w:tc>
          <w:tcPr>
            <w:tcW w:w="1842" w:type="dxa"/>
            <w:tcBorders>
              <w:top w:val="single" w:sz="4" w:space="0" w:color="000000"/>
            </w:tcBorders>
          </w:tcPr>
          <w:p>
            <w:pPr>
              <w:pStyle w:val="TableParagraph"/>
              <w:ind w:left="121" w:right="119"/>
              <w:rPr>
                <w:sz w:val="18"/>
              </w:rPr>
            </w:pPr>
            <w:r>
              <w:rPr>
                <w:sz w:val="18"/>
              </w:rPr>
              <w:t>Capillary whole blood Venous whole blood Dried blood spot Serum</w:t>
            </w:r>
          </w:p>
          <w:p>
            <w:pPr>
              <w:pStyle w:val="TableParagraph"/>
              <w:tabs>
                <w:tab w:pos="121" w:val="left" w:leader="none"/>
                <w:tab w:pos="4417" w:val="left" w:leader="none"/>
              </w:tabs>
              <w:spacing w:line="207" w:lineRule="exact"/>
              <w:ind w:left="-5498" w:right="-2578"/>
              <w:rPr>
                <w:sz w:val="18"/>
              </w:rPr>
            </w:pPr>
            <w:r>
              <w:rPr>
                <w:sz w:val="18"/>
                <w:u w:val="single"/>
              </w:rPr>
              <w:t> </w:t>
              <w:tab/>
              <w:t>Plasma</w:t>
              <w:tab/>
            </w:r>
          </w:p>
        </w:tc>
        <w:tc>
          <w:tcPr>
            <w:tcW w:w="2565" w:type="dxa"/>
            <w:tcBorders>
              <w:top w:val="single" w:sz="4" w:space="0" w:color="000000"/>
            </w:tcBorders>
          </w:tcPr>
          <w:p>
            <w:pPr>
              <w:pStyle w:val="TableParagraph"/>
              <w:ind w:left="120" w:right="142"/>
              <w:rPr>
                <w:sz w:val="18"/>
              </w:rPr>
            </w:pPr>
            <w:hyperlink r:id="rId285">
              <w:r>
                <w:rPr>
                  <w:color w:val="0462C1"/>
                  <w:sz w:val="18"/>
                  <w:u w:val="single" w:color="0462C1"/>
                </w:rPr>
                <w:t>http://www.who.int/diagnostic</w:t>
              </w:r>
            </w:hyperlink>
            <w:r>
              <w:rPr>
                <w:color w:val="0462C1"/>
                <w:sz w:val="18"/>
              </w:rPr>
              <w:t> </w:t>
            </w:r>
            <w:hyperlink r:id="rId285">
              <w:r>
                <w:rPr>
                  <w:color w:val="0462C1"/>
                  <w:sz w:val="18"/>
                  <w:u w:val="single" w:color="0462C1"/>
                </w:rPr>
                <w:t>s_laboratory/evaluations/pq-</w:t>
              </w:r>
            </w:hyperlink>
            <w:r>
              <w:rPr>
                <w:color w:val="0462C1"/>
                <w:sz w:val="18"/>
              </w:rPr>
              <w:t> </w:t>
            </w:r>
            <w:hyperlink r:id="rId285">
              <w:r>
                <w:rPr>
                  <w:color w:val="0462C1"/>
                  <w:sz w:val="18"/>
                  <w:u w:val="single" w:color="0462C1"/>
                </w:rPr>
                <w:t>list/hiv-vrl/public_report/en/</w:t>
              </w:r>
            </w:hyperlink>
          </w:p>
        </w:tc>
        <w:tc>
          <w:tcPr>
            <w:tcW w:w="3409" w:type="dxa"/>
            <w:tcBorders>
              <w:top w:val="single" w:sz="4" w:space="0" w:color="000000"/>
              <w:right w:val="single" w:sz="12" w:space="0" w:color="000000"/>
            </w:tcBorders>
          </w:tcPr>
          <w:p>
            <w:pPr>
              <w:pStyle w:val="TableParagraph"/>
              <w:ind w:left="123" w:right="483"/>
              <w:rPr>
                <w:sz w:val="18"/>
              </w:rPr>
            </w:pPr>
            <w:r>
              <w:rPr>
                <w:sz w:val="18"/>
              </w:rPr>
              <w:t>Consolidated guidelines on the use of antiretroviral drugs for treating and preventing HIV infection (2016) </w:t>
            </w:r>
            <w:hyperlink r:id="rId286">
              <w:r>
                <w:rPr>
                  <w:color w:val="0462C1"/>
                  <w:sz w:val="18"/>
                  <w:u w:val="single" w:color="0462C1"/>
                </w:rPr>
                <w:t>http://www.who.int/hiv/pub/arv/arv-</w:t>
              </w:r>
            </w:hyperlink>
          </w:p>
          <w:p>
            <w:pPr>
              <w:pStyle w:val="TableParagraph"/>
              <w:spacing w:line="207" w:lineRule="exact"/>
              <w:ind w:left="123"/>
              <w:rPr>
                <w:sz w:val="18"/>
              </w:rPr>
            </w:pPr>
            <w:hyperlink r:id="rId286">
              <w:r>
                <w:rPr>
                  <w:color w:val="0462C1"/>
                  <w:sz w:val="18"/>
                  <w:u w:val="single" w:color="0462C1"/>
                </w:rPr>
                <w:t>2016/en/</w:t>
              </w:r>
            </w:hyperlink>
          </w:p>
        </w:tc>
      </w:tr>
      <w:tr>
        <w:trPr>
          <w:trHeight w:val="624" w:hRule="atLeast"/>
        </w:trPr>
        <w:tc>
          <w:tcPr>
            <w:tcW w:w="1124" w:type="dxa"/>
            <w:vMerge/>
            <w:tcBorders>
              <w:top w:val="nil"/>
              <w:left w:val="single" w:sz="12" w:space="0" w:color="000000"/>
              <w:bottom w:val="single" w:sz="12" w:space="0" w:color="000000"/>
            </w:tcBorders>
          </w:tcPr>
          <w:p>
            <w:pPr>
              <w:rPr>
                <w:sz w:val="2"/>
                <w:szCs w:val="2"/>
              </w:rPr>
            </w:pPr>
          </w:p>
        </w:tc>
        <w:tc>
          <w:tcPr>
            <w:tcW w:w="1824" w:type="dxa"/>
            <w:tcBorders>
              <w:bottom w:val="single" w:sz="4" w:space="0" w:color="000000"/>
            </w:tcBorders>
          </w:tcPr>
          <w:p>
            <w:pPr>
              <w:pStyle w:val="TableParagraph"/>
              <w:spacing w:line="194" w:lineRule="exact"/>
              <w:ind w:left="117"/>
              <w:rPr>
                <w:sz w:val="18"/>
              </w:rPr>
            </w:pPr>
            <w:r>
              <w:rPr>
                <w:sz w:val="18"/>
              </w:rPr>
              <w:t>HIV quantitative</w:t>
            </w:r>
          </w:p>
          <w:p>
            <w:pPr>
              <w:pStyle w:val="TableParagraph"/>
              <w:spacing w:before="1"/>
              <w:ind w:left="117"/>
              <w:rPr>
                <w:sz w:val="18"/>
              </w:rPr>
            </w:pPr>
            <w:r>
              <w:rPr>
                <w:sz w:val="18"/>
              </w:rPr>
              <w:t>virological</w:t>
            </w:r>
          </w:p>
        </w:tc>
        <w:tc>
          <w:tcPr>
            <w:tcW w:w="2127" w:type="dxa"/>
            <w:tcBorders>
              <w:bottom w:val="single" w:sz="4" w:space="0" w:color="000000"/>
            </w:tcBorders>
          </w:tcPr>
          <w:p>
            <w:pPr>
              <w:pStyle w:val="TableParagraph"/>
              <w:spacing w:line="194" w:lineRule="exact"/>
              <w:ind w:left="121"/>
              <w:rPr>
                <w:sz w:val="18"/>
              </w:rPr>
            </w:pPr>
            <w:r>
              <w:rPr>
                <w:sz w:val="18"/>
              </w:rPr>
              <w:t>Monitoring of response</w:t>
            </w:r>
          </w:p>
          <w:p>
            <w:pPr>
              <w:pStyle w:val="TableParagraph"/>
              <w:spacing w:before="1"/>
              <w:ind w:left="121"/>
              <w:rPr>
                <w:sz w:val="18"/>
              </w:rPr>
            </w:pPr>
            <w:r>
              <w:rPr>
                <w:sz w:val="18"/>
              </w:rPr>
              <w:t>to antiviral treatment</w:t>
            </w:r>
          </w:p>
        </w:tc>
        <w:tc>
          <w:tcPr>
            <w:tcW w:w="1561" w:type="dxa"/>
            <w:tcBorders>
              <w:bottom w:val="single" w:sz="4" w:space="0" w:color="000000"/>
            </w:tcBorders>
          </w:tcPr>
          <w:p>
            <w:pPr>
              <w:pStyle w:val="TableParagraph"/>
              <w:spacing w:line="194" w:lineRule="exact"/>
              <w:ind w:left="122"/>
              <w:rPr>
                <w:sz w:val="18"/>
              </w:rPr>
            </w:pPr>
            <w:r>
              <w:rPr>
                <w:sz w:val="18"/>
              </w:rPr>
              <w:t>NAT</w:t>
            </w:r>
          </w:p>
        </w:tc>
        <w:tc>
          <w:tcPr>
            <w:tcW w:w="1842" w:type="dxa"/>
            <w:tcBorders>
              <w:bottom w:val="single" w:sz="4" w:space="0" w:color="000000"/>
            </w:tcBorders>
          </w:tcPr>
          <w:p>
            <w:pPr>
              <w:pStyle w:val="TableParagraph"/>
              <w:spacing w:line="194" w:lineRule="exact"/>
              <w:ind w:left="121"/>
              <w:rPr>
                <w:sz w:val="18"/>
              </w:rPr>
            </w:pPr>
            <w:r>
              <w:rPr>
                <w:sz w:val="18"/>
              </w:rPr>
              <w:t>Dried blood spot</w:t>
            </w:r>
          </w:p>
          <w:p>
            <w:pPr>
              <w:pStyle w:val="TableParagraph"/>
              <w:spacing w:line="219" w:lineRule="exact" w:before="1"/>
              <w:ind w:left="121"/>
              <w:rPr>
                <w:sz w:val="18"/>
              </w:rPr>
            </w:pPr>
            <w:r>
              <w:rPr>
                <w:sz w:val="18"/>
              </w:rPr>
              <w:t>Serum</w:t>
            </w:r>
          </w:p>
          <w:p>
            <w:pPr>
              <w:pStyle w:val="TableParagraph"/>
              <w:spacing w:line="191" w:lineRule="exact"/>
              <w:ind w:left="121"/>
              <w:rPr>
                <w:sz w:val="18"/>
              </w:rPr>
            </w:pPr>
            <w:r>
              <w:rPr>
                <w:sz w:val="18"/>
              </w:rPr>
              <w:t>Plasma</w:t>
            </w:r>
          </w:p>
        </w:tc>
        <w:tc>
          <w:tcPr>
            <w:tcW w:w="2565" w:type="dxa"/>
            <w:tcBorders>
              <w:bottom w:val="single" w:sz="4" w:space="0" w:color="000000"/>
            </w:tcBorders>
          </w:tcPr>
          <w:p>
            <w:pPr>
              <w:pStyle w:val="TableParagraph"/>
              <w:spacing w:line="194" w:lineRule="exact"/>
              <w:ind w:left="120"/>
              <w:rPr>
                <w:sz w:val="18"/>
              </w:rPr>
            </w:pPr>
            <w:hyperlink r:id="rId285">
              <w:r>
                <w:rPr>
                  <w:color w:val="0462C1"/>
                  <w:sz w:val="18"/>
                  <w:u w:val="single" w:color="0462C1"/>
                </w:rPr>
                <w:t>http://www.who.int/diagnostic</w:t>
              </w:r>
            </w:hyperlink>
          </w:p>
          <w:p>
            <w:pPr>
              <w:pStyle w:val="TableParagraph"/>
              <w:spacing w:line="219" w:lineRule="exact" w:before="1"/>
              <w:ind w:left="120"/>
              <w:rPr>
                <w:sz w:val="18"/>
              </w:rPr>
            </w:pPr>
            <w:hyperlink r:id="rId285">
              <w:r>
                <w:rPr>
                  <w:color w:val="0462C1"/>
                  <w:sz w:val="18"/>
                  <w:u w:val="single" w:color="0462C1"/>
                </w:rPr>
                <w:t>s_laboratory/evaluations/pq-</w:t>
              </w:r>
            </w:hyperlink>
          </w:p>
          <w:p>
            <w:pPr>
              <w:pStyle w:val="TableParagraph"/>
              <w:spacing w:line="191" w:lineRule="exact"/>
              <w:ind w:left="120"/>
              <w:rPr>
                <w:sz w:val="18"/>
              </w:rPr>
            </w:pPr>
            <w:hyperlink r:id="rId285">
              <w:r>
                <w:rPr>
                  <w:color w:val="0462C1"/>
                  <w:sz w:val="18"/>
                </w:rPr>
                <w:t>list/hiv-vrl/public_report/en/</w:t>
              </w:r>
            </w:hyperlink>
          </w:p>
        </w:tc>
        <w:tc>
          <w:tcPr>
            <w:tcW w:w="3409" w:type="dxa"/>
            <w:tcBorders>
              <w:right w:val="single" w:sz="12" w:space="0" w:color="000000"/>
            </w:tcBorders>
          </w:tcPr>
          <w:p>
            <w:pPr>
              <w:pStyle w:val="TableParagraph"/>
              <w:rPr>
                <w:rFonts w:ascii="Times New Roman"/>
                <w:sz w:val="18"/>
              </w:rPr>
            </w:pPr>
          </w:p>
        </w:tc>
      </w:tr>
      <w:tr>
        <w:trPr>
          <w:trHeight w:val="814" w:hRule="atLeast"/>
        </w:trPr>
        <w:tc>
          <w:tcPr>
            <w:tcW w:w="1124" w:type="dxa"/>
            <w:vMerge/>
            <w:tcBorders>
              <w:top w:val="nil"/>
              <w:left w:val="single" w:sz="12" w:space="0" w:color="000000"/>
              <w:bottom w:val="single" w:sz="12" w:space="0" w:color="000000"/>
            </w:tcBorders>
          </w:tcPr>
          <w:p>
            <w:pPr>
              <w:rPr>
                <w:sz w:val="2"/>
                <w:szCs w:val="2"/>
              </w:rPr>
            </w:pPr>
          </w:p>
        </w:tc>
        <w:tc>
          <w:tcPr>
            <w:tcW w:w="1824" w:type="dxa"/>
            <w:tcBorders>
              <w:top w:val="single" w:sz="4" w:space="0" w:color="000000"/>
              <w:bottom w:val="single" w:sz="4" w:space="0" w:color="000000"/>
            </w:tcBorders>
          </w:tcPr>
          <w:p>
            <w:pPr>
              <w:pStyle w:val="TableParagraph"/>
              <w:spacing w:line="237" w:lineRule="auto"/>
              <w:ind w:left="117" w:right="107"/>
              <w:rPr>
                <w:sz w:val="18"/>
              </w:rPr>
            </w:pPr>
            <w:r>
              <w:rPr>
                <w:sz w:val="18"/>
              </w:rPr>
              <w:t>CD4 cell enumeration (quantitative)</w:t>
            </w:r>
          </w:p>
        </w:tc>
        <w:tc>
          <w:tcPr>
            <w:tcW w:w="2127" w:type="dxa"/>
            <w:tcBorders>
              <w:top w:val="single" w:sz="4" w:space="0" w:color="000000"/>
              <w:bottom w:val="single" w:sz="4" w:space="0" w:color="000000"/>
            </w:tcBorders>
          </w:tcPr>
          <w:p>
            <w:pPr>
              <w:pStyle w:val="TableParagraph"/>
              <w:spacing w:line="237" w:lineRule="auto"/>
              <w:ind w:left="121" w:right="248"/>
              <w:rPr>
                <w:sz w:val="18"/>
              </w:rPr>
            </w:pPr>
            <w:r>
              <w:rPr>
                <w:sz w:val="18"/>
              </w:rPr>
              <w:t>For staging of advanced HIV disease</w:t>
            </w:r>
          </w:p>
        </w:tc>
        <w:tc>
          <w:tcPr>
            <w:tcW w:w="1561" w:type="dxa"/>
            <w:tcBorders>
              <w:top w:val="single" w:sz="4" w:space="0" w:color="000000"/>
              <w:bottom w:val="single" w:sz="4" w:space="0" w:color="000000"/>
            </w:tcBorders>
          </w:tcPr>
          <w:p>
            <w:pPr>
              <w:pStyle w:val="TableParagraph"/>
              <w:spacing w:line="209" w:lineRule="exact"/>
              <w:ind w:left="122"/>
              <w:rPr>
                <w:sz w:val="18"/>
              </w:rPr>
            </w:pPr>
            <w:r>
              <w:rPr>
                <w:sz w:val="18"/>
              </w:rPr>
              <w:t>Flow cytometry</w:t>
            </w:r>
          </w:p>
        </w:tc>
        <w:tc>
          <w:tcPr>
            <w:tcW w:w="1842" w:type="dxa"/>
            <w:tcBorders>
              <w:top w:val="single" w:sz="4" w:space="0" w:color="000000"/>
              <w:bottom w:val="single" w:sz="4" w:space="0" w:color="000000"/>
            </w:tcBorders>
          </w:tcPr>
          <w:p>
            <w:pPr>
              <w:pStyle w:val="TableParagraph"/>
              <w:spacing w:line="237" w:lineRule="auto"/>
              <w:ind w:left="121" w:right="119"/>
              <w:rPr>
                <w:sz w:val="18"/>
              </w:rPr>
            </w:pPr>
            <w:r>
              <w:rPr>
                <w:sz w:val="18"/>
              </w:rPr>
              <w:t>Capillary whole blood Venous whole blood</w:t>
            </w:r>
          </w:p>
        </w:tc>
        <w:tc>
          <w:tcPr>
            <w:tcW w:w="2565" w:type="dxa"/>
            <w:tcBorders>
              <w:top w:val="single" w:sz="4" w:space="0" w:color="000000"/>
              <w:bottom w:val="single" w:sz="4" w:space="0" w:color="000000"/>
            </w:tcBorders>
          </w:tcPr>
          <w:p>
            <w:pPr>
              <w:pStyle w:val="TableParagraph"/>
              <w:spacing w:line="237" w:lineRule="auto"/>
              <w:ind w:left="120" w:right="142"/>
              <w:rPr>
                <w:sz w:val="18"/>
              </w:rPr>
            </w:pPr>
            <w:hyperlink r:id="rId285">
              <w:r>
                <w:rPr>
                  <w:color w:val="0462C1"/>
                  <w:spacing w:val="-1"/>
                  <w:sz w:val="18"/>
                  <w:u w:val="single" w:color="0462C1"/>
                </w:rPr>
                <w:t>http://www.who.int/diagnostic</w:t>
              </w:r>
            </w:hyperlink>
            <w:r>
              <w:rPr>
                <w:color w:val="0462C1"/>
                <w:spacing w:val="-1"/>
                <w:sz w:val="18"/>
              </w:rPr>
              <w:t> </w:t>
            </w:r>
            <w:hyperlink r:id="rId285">
              <w:r>
                <w:rPr>
                  <w:color w:val="0462C1"/>
                  <w:sz w:val="18"/>
                  <w:u w:val="single" w:color="0462C1"/>
                </w:rPr>
                <w:t>s_laboratory/evaluations/pq-</w:t>
              </w:r>
            </w:hyperlink>
          </w:p>
          <w:p>
            <w:pPr>
              <w:pStyle w:val="TableParagraph"/>
              <w:ind w:left="120"/>
              <w:rPr>
                <w:sz w:val="18"/>
              </w:rPr>
            </w:pPr>
            <w:hyperlink r:id="rId285">
              <w:r>
                <w:rPr>
                  <w:color w:val="0462C1"/>
                  <w:sz w:val="18"/>
                  <w:u w:val="single" w:color="0462C1"/>
                </w:rPr>
                <w:t>list/hiv-vrl/public_report/en/</w:t>
              </w:r>
            </w:hyperlink>
          </w:p>
        </w:tc>
        <w:tc>
          <w:tcPr>
            <w:tcW w:w="3409" w:type="dxa"/>
            <w:tcBorders>
              <w:bottom w:val="single" w:sz="4" w:space="0" w:color="000000"/>
              <w:right w:val="single" w:sz="12" w:space="0" w:color="000000"/>
            </w:tcBorders>
          </w:tcPr>
          <w:p>
            <w:pPr>
              <w:pStyle w:val="TableParagraph"/>
              <w:rPr>
                <w:rFonts w:ascii="Times New Roman"/>
                <w:sz w:val="18"/>
              </w:rPr>
            </w:pPr>
          </w:p>
        </w:tc>
      </w:tr>
      <w:tr>
        <w:trPr>
          <w:trHeight w:val="875" w:hRule="atLeast"/>
        </w:trPr>
        <w:tc>
          <w:tcPr>
            <w:tcW w:w="1124" w:type="dxa"/>
            <w:vMerge/>
            <w:tcBorders>
              <w:top w:val="nil"/>
              <w:left w:val="single" w:sz="12" w:space="0" w:color="000000"/>
              <w:bottom w:val="single" w:sz="12" w:space="0" w:color="000000"/>
            </w:tcBorders>
          </w:tcPr>
          <w:p>
            <w:pPr>
              <w:rPr>
                <w:sz w:val="2"/>
                <w:szCs w:val="2"/>
              </w:rPr>
            </w:pPr>
          </w:p>
        </w:tc>
        <w:tc>
          <w:tcPr>
            <w:tcW w:w="1824" w:type="dxa"/>
            <w:tcBorders>
              <w:top w:val="single" w:sz="4" w:space="0" w:color="000000"/>
            </w:tcBorders>
          </w:tcPr>
          <w:p>
            <w:pPr>
              <w:pStyle w:val="TableParagraph"/>
              <w:spacing w:line="209" w:lineRule="exact"/>
              <w:ind w:left="117"/>
              <w:rPr>
                <w:sz w:val="18"/>
              </w:rPr>
            </w:pPr>
            <w:r>
              <w:rPr>
                <w:sz w:val="18"/>
              </w:rPr>
              <w:t>Cryptococcal antigen</w:t>
            </w:r>
          </w:p>
          <w:p>
            <w:pPr>
              <w:pStyle w:val="TableParagraph"/>
              <w:spacing w:before="1"/>
              <w:ind w:left="117"/>
              <w:rPr>
                <w:sz w:val="18"/>
              </w:rPr>
            </w:pPr>
            <w:r>
              <w:rPr>
                <w:sz w:val="18"/>
              </w:rPr>
              <w:t>test</w:t>
            </w:r>
          </w:p>
        </w:tc>
        <w:tc>
          <w:tcPr>
            <w:tcW w:w="2127" w:type="dxa"/>
            <w:vMerge w:val="restart"/>
            <w:tcBorders>
              <w:top w:val="single" w:sz="4" w:space="0" w:color="000000"/>
              <w:bottom w:val="single" w:sz="12" w:space="0" w:color="000000"/>
            </w:tcBorders>
          </w:tcPr>
          <w:p>
            <w:pPr>
              <w:pStyle w:val="TableParagraph"/>
              <w:spacing w:line="209" w:lineRule="exact"/>
              <w:ind w:left="121"/>
              <w:rPr>
                <w:sz w:val="18"/>
              </w:rPr>
            </w:pPr>
            <w:r>
              <w:rPr>
                <w:sz w:val="18"/>
              </w:rPr>
              <w:t>For screening and</w:t>
            </w:r>
          </w:p>
          <w:p>
            <w:pPr>
              <w:pStyle w:val="TableParagraph"/>
              <w:spacing w:before="1"/>
              <w:ind w:left="121" w:right="95"/>
              <w:rPr>
                <w:sz w:val="18"/>
              </w:rPr>
            </w:pPr>
            <w:r>
              <w:rPr>
                <w:sz w:val="18"/>
              </w:rPr>
              <w:t>diagnosis of cryptococcal meningitis in people living with advanced HIV disease</w:t>
            </w:r>
          </w:p>
        </w:tc>
        <w:tc>
          <w:tcPr>
            <w:tcW w:w="1561" w:type="dxa"/>
            <w:tcBorders>
              <w:top w:val="single" w:sz="4" w:space="0" w:color="000000"/>
            </w:tcBorders>
          </w:tcPr>
          <w:p>
            <w:pPr>
              <w:pStyle w:val="TableParagraph"/>
              <w:spacing w:line="209" w:lineRule="exact"/>
              <w:ind w:left="122"/>
              <w:rPr>
                <w:sz w:val="18"/>
              </w:rPr>
            </w:pPr>
            <w:r>
              <w:rPr>
                <w:sz w:val="18"/>
              </w:rPr>
              <w:t>RDT</w:t>
            </w:r>
          </w:p>
        </w:tc>
        <w:tc>
          <w:tcPr>
            <w:tcW w:w="1842" w:type="dxa"/>
            <w:tcBorders>
              <w:top w:val="single" w:sz="4" w:space="0" w:color="000000"/>
            </w:tcBorders>
          </w:tcPr>
          <w:p>
            <w:pPr>
              <w:pStyle w:val="TableParagraph"/>
              <w:spacing w:line="209" w:lineRule="exact"/>
              <w:ind w:left="121"/>
              <w:rPr>
                <w:sz w:val="18"/>
              </w:rPr>
            </w:pPr>
            <w:r>
              <w:rPr>
                <w:sz w:val="18"/>
              </w:rPr>
              <w:t>CSF</w:t>
            </w:r>
          </w:p>
          <w:p>
            <w:pPr>
              <w:pStyle w:val="TableParagraph"/>
              <w:spacing w:before="1"/>
              <w:ind w:left="121" w:right="204"/>
              <w:rPr>
                <w:sz w:val="18"/>
              </w:rPr>
            </w:pPr>
            <w:r>
              <w:rPr>
                <w:sz w:val="18"/>
              </w:rPr>
              <w:t>Venous whole blood Serum</w:t>
            </w:r>
          </w:p>
          <w:p>
            <w:pPr>
              <w:pStyle w:val="TableParagraph"/>
              <w:spacing w:line="206" w:lineRule="exact"/>
              <w:ind w:left="121"/>
              <w:rPr>
                <w:sz w:val="18"/>
              </w:rPr>
            </w:pPr>
            <w:r>
              <w:rPr>
                <w:sz w:val="18"/>
              </w:rPr>
              <w:t>Plasma</w:t>
            </w:r>
          </w:p>
        </w:tc>
        <w:tc>
          <w:tcPr>
            <w:tcW w:w="2565" w:type="dxa"/>
            <w:tcBorders>
              <w:top w:val="single" w:sz="4" w:space="0" w:color="000000"/>
            </w:tcBorders>
          </w:tcPr>
          <w:p>
            <w:pPr>
              <w:pStyle w:val="TableParagraph"/>
              <w:spacing w:line="209" w:lineRule="exact"/>
              <w:ind w:left="120"/>
              <w:rPr>
                <w:sz w:val="18"/>
              </w:rPr>
            </w:pPr>
            <w:r>
              <w:rPr>
                <w:sz w:val="18"/>
              </w:rPr>
              <w:t>N/A</w:t>
            </w:r>
          </w:p>
        </w:tc>
        <w:tc>
          <w:tcPr>
            <w:tcW w:w="3409" w:type="dxa"/>
            <w:vMerge w:val="restart"/>
            <w:tcBorders>
              <w:top w:val="single" w:sz="4" w:space="0" w:color="000000"/>
              <w:bottom w:val="single" w:sz="12" w:space="0" w:color="000000"/>
              <w:right w:val="single" w:sz="12" w:space="0" w:color="000000"/>
            </w:tcBorders>
          </w:tcPr>
          <w:p>
            <w:pPr>
              <w:pStyle w:val="TableParagraph"/>
              <w:spacing w:line="209" w:lineRule="exact"/>
              <w:ind w:left="123"/>
              <w:rPr>
                <w:sz w:val="18"/>
              </w:rPr>
            </w:pPr>
            <w:r>
              <w:rPr>
                <w:sz w:val="18"/>
              </w:rPr>
              <w:t>Guidelines for the diagnosis, prevention,</w:t>
            </w:r>
          </w:p>
          <w:p>
            <w:pPr>
              <w:pStyle w:val="TableParagraph"/>
              <w:spacing w:before="1"/>
              <w:ind w:left="123" w:right="118"/>
              <w:rPr>
                <w:sz w:val="18"/>
              </w:rPr>
            </w:pPr>
            <w:r>
              <w:rPr>
                <w:sz w:val="18"/>
              </w:rPr>
              <w:t>and management of cryptococcal disease in HIV-infected adults, adolescents and children (2018) </w:t>
            </w:r>
            <w:hyperlink r:id="rId287">
              <w:r>
                <w:rPr>
                  <w:color w:val="0462C1"/>
                  <w:sz w:val="18"/>
                  <w:u w:val="single" w:color="0462C1"/>
                </w:rPr>
                <w:t>http://apps.who.int/iris/bitstream/handle/</w:t>
              </w:r>
            </w:hyperlink>
            <w:r>
              <w:rPr>
                <w:color w:val="0462C1"/>
                <w:sz w:val="18"/>
              </w:rPr>
              <w:t> </w:t>
            </w:r>
            <w:hyperlink r:id="rId287">
              <w:r>
                <w:rPr>
                  <w:color w:val="0462C1"/>
                  <w:sz w:val="18"/>
                  <w:u w:val="single" w:color="0462C1"/>
                </w:rPr>
                <w:t>10665/260399/9789241550277-</w:t>
              </w:r>
            </w:hyperlink>
          </w:p>
          <w:p>
            <w:pPr>
              <w:pStyle w:val="TableParagraph"/>
              <w:spacing w:before="1"/>
              <w:ind w:left="123"/>
              <w:rPr>
                <w:sz w:val="18"/>
              </w:rPr>
            </w:pPr>
            <w:hyperlink r:id="rId287">
              <w:r>
                <w:rPr>
                  <w:color w:val="0462C1"/>
                  <w:sz w:val="18"/>
                  <w:u w:val="single" w:color="0462C1"/>
                </w:rPr>
                <w:t>eng.pdf?sequence=1</w:t>
              </w:r>
            </w:hyperlink>
          </w:p>
        </w:tc>
      </w:tr>
      <w:tr>
        <w:trPr>
          <w:trHeight w:val="926" w:hRule="atLeast"/>
        </w:trPr>
        <w:tc>
          <w:tcPr>
            <w:tcW w:w="1124" w:type="dxa"/>
            <w:vMerge/>
            <w:tcBorders>
              <w:top w:val="nil"/>
              <w:left w:val="single" w:sz="12" w:space="0" w:color="000000"/>
              <w:bottom w:val="single" w:sz="12" w:space="0" w:color="000000"/>
            </w:tcBorders>
          </w:tcPr>
          <w:p>
            <w:pPr>
              <w:rPr>
                <w:sz w:val="2"/>
                <w:szCs w:val="2"/>
              </w:rPr>
            </w:pPr>
          </w:p>
        </w:tc>
        <w:tc>
          <w:tcPr>
            <w:tcW w:w="1824" w:type="dxa"/>
            <w:tcBorders>
              <w:bottom w:val="single" w:sz="12" w:space="0" w:color="000000"/>
            </w:tcBorders>
          </w:tcPr>
          <w:p>
            <w:pPr>
              <w:pStyle w:val="TableParagraph"/>
              <w:rPr>
                <w:rFonts w:ascii="Times New Roman"/>
                <w:sz w:val="18"/>
              </w:rPr>
            </w:pPr>
          </w:p>
        </w:tc>
        <w:tc>
          <w:tcPr>
            <w:tcW w:w="2127" w:type="dxa"/>
            <w:vMerge/>
            <w:tcBorders>
              <w:top w:val="nil"/>
              <w:bottom w:val="single" w:sz="12" w:space="0" w:color="000000"/>
            </w:tcBorders>
          </w:tcPr>
          <w:p>
            <w:pPr>
              <w:rPr>
                <w:sz w:val="2"/>
                <w:szCs w:val="2"/>
              </w:rPr>
            </w:pPr>
          </w:p>
        </w:tc>
        <w:tc>
          <w:tcPr>
            <w:tcW w:w="1561" w:type="dxa"/>
            <w:tcBorders>
              <w:bottom w:val="single" w:sz="12" w:space="0" w:color="000000"/>
            </w:tcBorders>
          </w:tcPr>
          <w:p>
            <w:pPr>
              <w:pStyle w:val="TableParagraph"/>
              <w:spacing w:line="194" w:lineRule="exact"/>
              <w:ind w:left="122"/>
              <w:rPr>
                <w:sz w:val="18"/>
              </w:rPr>
            </w:pPr>
            <w:r>
              <w:rPr>
                <w:sz w:val="18"/>
              </w:rPr>
              <w:t>EIA</w:t>
            </w:r>
          </w:p>
        </w:tc>
        <w:tc>
          <w:tcPr>
            <w:tcW w:w="1842" w:type="dxa"/>
            <w:tcBorders>
              <w:bottom w:val="single" w:sz="12" w:space="0" w:color="000000"/>
            </w:tcBorders>
          </w:tcPr>
          <w:p>
            <w:pPr>
              <w:pStyle w:val="TableParagraph"/>
              <w:spacing w:line="193" w:lineRule="exact"/>
              <w:ind w:left="121"/>
              <w:rPr>
                <w:sz w:val="18"/>
              </w:rPr>
            </w:pPr>
            <w:r>
              <w:rPr>
                <w:sz w:val="18"/>
              </w:rPr>
              <w:t>CSF</w:t>
            </w:r>
          </w:p>
          <w:p>
            <w:pPr>
              <w:pStyle w:val="TableParagraph"/>
              <w:ind w:left="121" w:right="1180"/>
              <w:rPr>
                <w:sz w:val="18"/>
              </w:rPr>
            </w:pPr>
            <w:r>
              <w:rPr>
                <w:sz w:val="18"/>
              </w:rPr>
              <w:t>Serum Plasma</w:t>
            </w:r>
          </w:p>
        </w:tc>
        <w:tc>
          <w:tcPr>
            <w:tcW w:w="2565" w:type="dxa"/>
            <w:tcBorders>
              <w:bottom w:val="single" w:sz="12" w:space="0" w:color="000000"/>
            </w:tcBorders>
          </w:tcPr>
          <w:p>
            <w:pPr>
              <w:pStyle w:val="TableParagraph"/>
              <w:rPr>
                <w:rFonts w:ascii="Times New Roman"/>
                <w:sz w:val="18"/>
              </w:rPr>
            </w:pPr>
          </w:p>
        </w:tc>
        <w:tc>
          <w:tcPr>
            <w:tcW w:w="3409" w:type="dxa"/>
            <w:vMerge/>
            <w:tcBorders>
              <w:top w:val="nil"/>
              <w:bottom w:val="single" w:sz="12" w:space="0" w:color="000000"/>
              <w:right w:val="single" w:sz="12" w:space="0" w:color="000000"/>
            </w:tcBorders>
          </w:tcPr>
          <w:p>
            <w:pPr>
              <w:rPr>
                <w:sz w:val="2"/>
                <w:szCs w:val="2"/>
              </w:rPr>
            </w:pPr>
          </w:p>
        </w:tc>
      </w:tr>
    </w:tbl>
    <w:p>
      <w:pPr>
        <w:spacing w:after="0"/>
        <w:rPr>
          <w:sz w:val="2"/>
          <w:szCs w:val="2"/>
        </w:rPr>
        <w:sectPr>
          <w:headerReference w:type="default" r:id="rId264"/>
          <w:footerReference w:type="default" r:id="rId265"/>
          <w:pgSz w:w="16840" w:h="11910" w:orient="landscape"/>
          <w:pgMar w:header="0" w:footer="495" w:top="1100" w:bottom="680" w:left="1180" w:right="920"/>
          <w:pgNumType w:start="22"/>
        </w:sectPr>
      </w:pPr>
    </w:p>
    <w:p>
      <w:pPr>
        <w:pStyle w:val="BodyText"/>
        <w:rPr>
          <w:rFonts w:ascii="Times New Roman"/>
          <w:sz w:val="29"/>
        </w:rPr>
      </w:pPr>
      <w:r>
        <w:rPr/>
        <w:pict>
          <v:group style="position:absolute;margin-left:490.98999pt;margin-top:98.420006pt;width:.5pt;height:396.95pt;mso-position-horizontal-relative:page;mso-position-vertical-relative:page;z-index:-122320" coordorigin="9820,1968" coordsize="10,7939">
            <v:shape style="position:absolute;left:9819;top:1968;width:10;height:447" type="#_x0000_t75" stroked="false">
              <v:imagedata r:id="rId155" o:title=""/>
            </v:shape>
            <v:shape style="position:absolute;left:9819;top:2414;width:10;height:7493" type="#_x0000_t75" stroked="false">
              <v:imagedata r:id="rId290" o:title=""/>
            </v:shape>
            <w10:wrap type="none"/>
          </v:group>
        </w:pict>
      </w:r>
      <w:r>
        <w:rPr/>
        <w:pict>
          <v:group style="position:absolute;margin-left:122.300003pt;margin-top:121.220009pt;width:.5pt;height:374.15pt;mso-position-horizontal-relative:page;mso-position-vertical-relative:page;z-index:-122296" coordorigin="2446,2424" coordsize="10,7483">
            <v:shape style="position:absolute;left:2446;top:2424;width:10;height:3966" type="#_x0000_t75" stroked="false">
              <v:imagedata r:id="rId291" o:title=""/>
            </v:shape>
            <v:shape style="position:absolute;left:2446;top:6390;width:10;height:3517" type="#_x0000_t75" stroked="false">
              <v:imagedata r:id="rId292" o:title=""/>
            </v:shape>
            <w10:wrap type="none"/>
          </v:group>
        </w:pict>
      </w:r>
      <w:r>
        <w:rPr/>
        <w:pict>
          <v:group style="position:absolute;margin-left:214.460007pt;margin-top:121.220009pt;width:.5pt;height:374.15pt;mso-position-horizontal-relative:page;mso-position-vertical-relative:page;z-index:-122272" coordorigin="4289,2424" coordsize="10,7483">
            <v:shape style="position:absolute;left:4289;top:2424;width:10;height:3966" type="#_x0000_t75" stroked="false">
              <v:imagedata r:id="rId291" o:title=""/>
            </v:shape>
            <v:shape style="position:absolute;left:4289;top:6390;width:10;height:3517" type="#_x0000_t75" stroked="false">
              <v:imagedata r:id="rId292" o:title=""/>
            </v:shape>
            <w10:wrap type="none"/>
          </v:group>
        </w:pict>
      </w:r>
      <w:r>
        <w:rPr/>
        <w:pict>
          <v:group style="position:absolute;margin-left:398.829987pt;margin-top:121.220009pt;width:.5pt;height:374.15pt;mso-position-horizontal-relative:page;mso-position-vertical-relative:page;z-index:-122248" coordorigin="7977,2424" coordsize="10,7483">
            <v:shape style="position:absolute;left:7976;top:2424;width:10;height:3966" type="#_x0000_t75" stroked="false">
              <v:imagedata r:id="rId291" o:title=""/>
            </v:shape>
            <v:shape style="position:absolute;left:7976;top:6390;width:10;height:3517" type="#_x0000_t75" stroked="false">
              <v:imagedata r:id="rId292" o:title=""/>
            </v:shape>
            <w10:wrap type="none"/>
          </v:group>
        </w:pict>
      </w:r>
      <w:r>
        <w:rPr/>
        <w:pict>
          <v:group style="position:absolute;margin-left:618.580017pt;margin-top:121.220009pt;width:.5pt;height:374.15pt;mso-position-horizontal-relative:page;mso-position-vertical-relative:page;z-index:-122224" coordorigin="12372,2424" coordsize="10,7483">
            <v:shape style="position:absolute;left:12371;top:2424;width:10;height:3966" type="#_x0000_t75" stroked="false">
              <v:imagedata r:id="rId291" o:title=""/>
            </v:shape>
            <v:shape style="position:absolute;left:12371;top:6390;width:10;height:3517" type="#_x0000_t75" stroked="false">
              <v:imagedata r:id="rId292" o:title=""/>
            </v:shape>
            <w10:wrap type="none"/>
          </v:group>
        </w:pict>
      </w:r>
      <w:r>
        <w:rPr/>
        <w:drawing>
          <wp:anchor distT="0" distB="0" distL="0" distR="0" allowOverlap="1" layoutInCell="1" locked="0" behindDoc="1" simplePos="0" relativeHeight="268313255">
            <wp:simplePos x="0" y="0"/>
            <wp:positionH relativeFrom="page">
              <wp:posOffset>4074286</wp:posOffset>
            </wp:positionH>
            <wp:positionV relativeFrom="page">
              <wp:posOffset>1249934</wp:posOffset>
            </wp:positionV>
            <wp:extent cx="6097" cy="5042916"/>
            <wp:effectExtent l="0" t="0" r="0" b="0"/>
            <wp:wrapNone/>
            <wp:docPr id="41" name="image217.png" descr=""/>
            <wp:cNvGraphicFramePr>
              <a:graphicFrameLocks noChangeAspect="1"/>
            </wp:cNvGraphicFramePr>
            <a:graphic>
              <a:graphicData uri="http://schemas.openxmlformats.org/drawingml/2006/picture">
                <pic:pic>
                  <pic:nvPicPr>
                    <pic:cNvPr id="42" name="image217.png"/>
                    <pic:cNvPicPr/>
                  </pic:nvPicPr>
                  <pic:blipFill>
                    <a:blip r:embed="rId293" cstate="print"/>
                    <a:stretch>
                      <a:fillRect/>
                    </a:stretch>
                  </pic:blipFill>
                  <pic:spPr>
                    <a:xfrm>
                      <a:off x="0" y="0"/>
                      <a:ext cx="6097" cy="5042916"/>
                    </a:xfrm>
                    <a:prstGeom prst="rect">
                      <a:avLst/>
                    </a:prstGeom>
                  </pic:spPr>
                </pic:pic>
              </a:graphicData>
            </a:graphic>
          </wp:anchor>
        </w:drawing>
      </w:r>
    </w:p>
    <w:tbl>
      <w:tblPr>
        <w:tblW w:w="0" w:type="auto"/>
        <w:jc w:val="left"/>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15"/>
        <w:gridCol w:w="1838"/>
        <w:gridCol w:w="2127"/>
        <w:gridCol w:w="1561"/>
        <w:gridCol w:w="1842"/>
        <w:gridCol w:w="2553"/>
        <w:gridCol w:w="3401"/>
      </w:tblGrid>
      <w:tr>
        <w:trPr>
          <w:trHeight w:val="488" w:hRule="atLeast"/>
        </w:trPr>
        <w:tc>
          <w:tcPr>
            <w:tcW w:w="14437" w:type="dxa"/>
            <w:gridSpan w:val="7"/>
            <w:tcBorders>
              <w:bottom w:val="single" w:sz="4" w:space="0" w:color="000000"/>
            </w:tcBorders>
            <w:shd w:val="clear" w:color="auto" w:fill="E7E6E6"/>
          </w:tcPr>
          <w:p>
            <w:pPr>
              <w:pStyle w:val="TableParagraph"/>
              <w:spacing w:before="1"/>
              <w:ind w:left="107"/>
              <w:rPr>
                <w:b/>
                <w:sz w:val="24"/>
              </w:rPr>
            </w:pPr>
            <w:r>
              <w:rPr>
                <w:b/>
                <w:sz w:val="22"/>
              </w:rPr>
              <w:t>II.b </w:t>
            </w:r>
            <w:r>
              <w:rPr>
                <w:b/>
                <w:sz w:val="24"/>
              </w:rPr>
              <w:t>Disease-specific IVDs for health care facilities with clinical laboratories</w:t>
            </w:r>
          </w:p>
        </w:tc>
      </w:tr>
      <w:tr>
        <w:trPr>
          <w:trHeight w:val="445" w:hRule="atLeast"/>
        </w:trPr>
        <w:tc>
          <w:tcPr>
            <w:tcW w:w="1115" w:type="dxa"/>
            <w:tcBorders>
              <w:top w:val="single" w:sz="4" w:space="0" w:color="000000"/>
              <w:bottom w:val="single" w:sz="4" w:space="0" w:color="000000"/>
              <w:right w:val="nil"/>
            </w:tcBorders>
            <w:shd w:val="clear" w:color="auto" w:fill="E7E6E6"/>
          </w:tcPr>
          <w:p>
            <w:pPr>
              <w:pStyle w:val="TableParagraph"/>
              <w:ind w:left="1103" w:right="-58"/>
              <w:rPr>
                <w:rFonts w:ascii="Times New Roman"/>
                <w:sz w:val="20"/>
              </w:rPr>
            </w:pPr>
            <w:r>
              <w:rPr>
                <w:rFonts w:ascii="Times New Roman"/>
                <w:sz w:val="20"/>
              </w:rPr>
              <w:drawing>
                <wp:inline distT="0" distB="0" distL="0" distR="0">
                  <wp:extent cx="5968" cy="277558"/>
                  <wp:effectExtent l="0" t="0" r="0" b="0"/>
                  <wp:docPr id="43" name="image100.png" descr=""/>
                  <wp:cNvGraphicFramePr>
                    <a:graphicFrameLocks noChangeAspect="1"/>
                  </wp:cNvGraphicFramePr>
                  <a:graphic>
                    <a:graphicData uri="http://schemas.openxmlformats.org/drawingml/2006/picture">
                      <pic:pic>
                        <pic:nvPicPr>
                          <pic:cNvPr id="44" name="image100.png"/>
                          <pic:cNvPicPr/>
                        </pic:nvPicPr>
                        <pic:blipFill>
                          <a:blip r:embed="rId155" cstate="print"/>
                          <a:stretch>
                            <a:fillRect/>
                          </a:stretch>
                        </pic:blipFill>
                        <pic:spPr>
                          <a:xfrm>
                            <a:off x="0" y="0"/>
                            <a:ext cx="5968" cy="277558"/>
                          </a:xfrm>
                          <a:prstGeom prst="rect">
                            <a:avLst/>
                          </a:prstGeom>
                        </pic:spPr>
                      </pic:pic>
                    </a:graphicData>
                  </a:graphic>
                </wp:inline>
              </w:drawing>
            </w:r>
            <w:r>
              <w:rPr>
                <w:rFonts w:ascii="Times New Roman"/>
                <w:sz w:val="20"/>
              </w:rPr>
            </w:r>
          </w:p>
          <w:p>
            <w:pPr>
              <w:pStyle w:val="TableParagraph"/>
              <w:spacing w:line="20" w:lineRule="exact"/>
              <w:ind w:left="1103" w:right="-58"/>
              <w:rPr>
                <w:rFonts w:ascii="Times New Roman"/>
                <w:sz w:val="2"/>
              </w:rPr>
            </w:pPr>
            <w:r>
              <w:rPr>
                <w:rFonts w:ascii="Times New Roman"/>
                <w:sz w:val="2"/>
              </w:rPr>
              <w:drawing>
                <wp:inline distT="0" distB="0" distL="0" distR="0">
                  <wp:extent cx="6001" cy="6000"/>
                  <wp:effectExtent l="0" t="0" r="0" b="0"/>
                  <wp:docPr id="45" name="image206.png" descr=""/>
                  <wp:cNvGraphicFramePr>
                    <a:graphicFrameLocks noChangeAspect="1"/>
                  </wp:cNvGraphicFramePr>
                  <a:graphic>
                    <a:graphicData uri="http://schemas.openxmlformats.org/drawingml/2006/picture">
                      <pic:pic>
                        <pic:nvPicPr>
                          <pic:cNvPr id="46" name="image206.png"/>
                          <pic:cNvPicPr/>
                        </pic:nvPicPr>
                        <pic:blipFill>
                          <a:blip r:embed="rId277" cstate="print"/>
                          <a:stretch>
                            <a:fillRect/>
                          </a:stretch>
                        </pic:blipFill>
                        <pic:spPr>
                          <a:xfrm>
                            <a:off x="0" y="0"/>
                            <a:ext cx="6001" cy="6000"/>
                          </a:xfrm>
                          <a:prstGeom prst="rect">
                            <a:avLst/>
                          </a:prstGeom>
                        </pic:spPr>
                      </pic:pic>
                    </a:graphicData>
                  </a:graphic>
                </wp:inline>
              </w:drawing>
            </w:r>
            <w:r>
              <w:rPr>
                <w:rFonts w:ascii="Times New Roman"/>
                <w:sz w:val="2"/>
              </w:rPr>
            </w:r>
          </w:p>
        </w:tc>
        <w:tc>
          <w:tcPr>
            <w:tcW w:w="1838" w:type="dxa"/>
            <w:tcBorders>
              <w:top w:val="single" w:sz="4" w:space="0" w:color="000000"/>
              <w:left w:val="nil"/>
              <w:bottom w:val="single" w:sz="4" w:space="0" w:color="000000"/>
              <w:right w:val="nil"/>
            </w:tcBorders>
            <w:shd w:val="clear" w:color="auto" w:fill="E7E6E6"/>
          </w:tcPr>
          <w:p>
            <w:pPr>
              <w:pStyle w:val="TableParagraph"/>
              <w:spacing w:line="194" w:lineRule="exact"/>
              <w:ind w:left="116"/>
              <w:rPr>
                <w:b/>
                <w:sz w:val="16"/>
              </w:rPr>
            </w:pPr>
            <w:r>
              <w:rPr>
                <w:b/>
                <w:sz w:val="16"/>
              </w:rPr>
              <w:t>Diagnostic test</w:t>
            </w:r>
          </w:p>
          <w:p>
            <w:pPr>
              <w:pStyle w:val="TableParagraph"/>
              <w:spacing w:before="10"/>
              <w:rPr>
                <w:rFonts w:ascii="Times New Roman"/>
                <w:sz w:val="21"/>
              </w:rPr>
            </w:pPr>
          </w:p>
          <w:p>
            <w:pPr>
              <w:pStyle w:val="TableParagraph"/>
              <w:spacing w:line="20" w:lineRule="exact"/>
              <w:ind w:left="1847" w:right="-72"/>
              <w:rPr>
                <w:rFonts w:ascii="Times New Roman"/>
                <w:sz w:val="2"/>
              </w:rPr>
            </w:pPr>
            <w:r>
              <w:rPr>
                <w:rFonts w:ascii="Times New Roman"/>
                <w:sz w:val="2"/>
              </w:rPr>
              <w:drawing>
                <wp:inline distT="0" distB="0" distL="0" distR="0">
                  <wp:extent cx="6001" cy="6000"/>
                  <wp:effectExtent l="0" t="0" r="0" b="0"/>
                  <wp:docPr id="47" name="image206.png" descr=""/>
                  <wp:cNvGraphicFramePr>
                    <a:graphicFrameLocks noChangeAspect="1"/>
                  </wp:cNvGraphicFramePr>
                  <a:graphic>
                    <a:graphicData uri="http://schemas.openxmlformats.org/drawingml/2006/picture">
                      <pic:pic>
                        <pic:nvPicPr>
                          <pic:cNvPr id="48" name="image206.png"/>
                          <pic:cNvPicPr/>
                        </pic:nvPicPr>
                        <pic:blipFill>
                          <a:blip r:embed="rId277" cstate="print"/>
                          <a:stretch>
                            <a:fillRect/>
                          </a:stretch>
                        </pic:blipFill>
                        <pic:spPr>
                          <a:xfrm>
                            <a:off x="0" y="0"/>
                            <a:ext cx="6001" cy="6000"/>
                          </a:xfrm>
                          <a:prstGeom prst="rect">
                            <a:avLst/>
                          </a:prstGeom>
                        </pic:spPr>
                      </pic:pic>
                    </a:graphicData>
                  </a:graphic>
                </wp:inline>
              </w:drawing>
            </w:r>
            <w:r>
              <w:rPr>
                <w:rFonts w:ascii="Times New Roman"/>
                <w:sz w:val="2"/>
              </w:rPr>
            </w:r>
          </w:p>
        </w:tc>
        <w:tc>
          <w:tcPr>
            <w:tcW w:w="2127" w:type="dxa"/>
            <w:tcBorders>
              <w:top w:val="single" w:sz="4" w:space="0" w:color="000000"/>
              <w:left w:val="nil"/>
              <w:bottom w:val="single" w:sz="4" w:space="0" w:color="000000"/>
              <w:right w:val="nil"/>
            </w:tcBorders>
            <w:shd w:val="clear" w:color="auto" w:fill="E7E6E6"/>
          </w:tcPr>
          <w:p>
            <w:pPr>
              <w:pStyle w:val="TableParagraph"/>
              <w:spacing w:line="194" w:lineRule="exact"/>
              <w:ind w:left="121"/>
              <w:rPr>
                <w:b/>
                <w:sz w:val="16"/>
              </w:rPr>
            </w:pPr>
            <w:r>
              <w:rPr>
                <w:b/>
                <w:sz w:val="16"/>
              </w:rPr>
              <w:t>Test purpose</w:t>
            </w:r>
          </w:p>
        </w:tc>
        <w:tc>
          <w:tcPr>
            <w:tcW w:w="1561" w:type="dxa"/>
            <w:tcBorders>
              <w:top w:val="single" w:sz="4" w:space="0" w:color="000000"/>
              <w:left w:val="nil"/>
              <w:bottom w:val="single" w:sz="4" w:space="0" w:color="000000"/>
              <w:right w:val="nil"/>
            </w:tcBorders>
            <w:shd w:val="clear" w:color="auto" w:fill="E7E6E6"/>
          </w:tcPr>
          <w:p>
            <w:pPr>
              <w:pStyle w:val="TableParagraph"/>
              <w:spacing w:line="194" w:lineRule="exact"/>
              <w:ind w:left="121"/>
              <w:rPr>
                <w:b/>
                <w:sz w:val="16"/>
              </w:rPr>
            </w:pPr>
            <w:r>
              <w:rPr>
                <w:b/>
                <w:sz w:val="16"/>
              </w:rPr>
              <w:t>Assay format</w:t>
            </w:r>
          </w:p>
          <w:p>
            <w:pPr>
              <w:pStyle w:val="TableParagraph"/>
              <w:spacing w:before="10"/>
              <w:rPr>
                <w:rFonts w:ascii="Times New Roman"/>
                <w:sz w:val="21"/>
              </w:rPr>
            </w:pPr>
          </w:p>
          <w:p>
            <w:pPr>
              <w:pStyle w:val="TableParagraph"/>
              <w:spacing w:line="20" w:lineRule="exact"/>
              <w:ind w:left="1569" w:right="-72"/>
              <w:rPr>
                <w:rFonts w:ascii="Times New Roman"/>
                <w:sz w:val="2"/>
              </w:rPr>
            </w:pPr>
            <w:r>
              <w:rPr>
                <w:rFonts w:ascii="Times New Roman"/>
                <w:sz w:val="2"/>
              </w:rPr>
              <w:drawing>
                <wp:inline distT="0" distB="0" distL="0" distR="0">
                  <wp:extent cx="6001" cy="6000"/>
                  <wp:effectExtent l="0" t="0" r="0" b="0"/>
                  <wp:docPr id="49" name="image206.png" descr=""/>
                  <wp:cNvGraphicFramePr>
                    <a:graphicFrameLocks noChangeAspect="1"/>
                  </wp:cNvGraphicFramePr>
                  <a:graphic>
                    <a:graphicData uri="http://schemas.openxmlformats.org/drawingml/2006/picture">
                      <pic:pic>
                        <pic:nvPicPr>
                          <pic:cNvPr id="50" name="image206.png"/>
                          <pic:cNvPicPr/>
                        </pic:nvPicPr>
                        <pic:blipFill>
                          <a:blip r:embed="rId277" cstate="print"/>
                          <a:stretch>
                            <a:fillRect/>
                          </a:stretch>
                        </pic:blipFill>
                        <pic:spPr>
                          <a:xfrm>
                            <a:off x="0" y="0"/>
                            <a:ext cx="6001" cy="6000"/>
                          </a:xfrm>
                          <a:prstGeom prst="rect">
                            <a:avLst/>
                          </a:prstGeom>
                        </pic:spPr>
                      </pic:pic>
                    </a:graphicData>
                  </a:graphic>
                </wp:inline>
              </w:drawing>
            </w:r>
            <w:r>
              <w:rPr>
                <w:rFonts w:ascii="Times New Roman"/>
                <w:sz w:val="2"/>
              </w:rPr>
            </w:r>
          </w:p>
        </w:tc>
        <w:tc>
          <w:tcPr>
            <w:tcW w:w="1842" w:type="dxa"/>
            <w:tcBorders>
              <w:top w:val="single" w:sz="4" w:space="0" w:color="000000"/>
              <w:left w:val="nil"/>
              <w:bottom w:val="single" w:sz="4" w:space="0" w:color="000000"/>
              <w:right w:val="nil"/>
            </w:tcBorders>
            <w:shd w:val="clear" w:color="auto" w:fill="E7E6E6"/>
          </w:tcPr>
          <w:p>
            <w:pPr>
              <w:pStyle w:val="TableParagraph"/>
              <w:spacing w:line="194" w:lineRule="exact"/>
              <w:ind w:left="121"/>
              <w:rPr>
                <w:b/>
                <w:sz w:val="16"/>
              </w:rPr>
            </w:pPr>
            <w:r>
              <w:rPr>
                <w:b/>
                <w:sz w:val="16"/>
              </w:rPr>
              <w:t>Specimen type</w:t>
            </w:r>
          </w:p>
        </w:tc>
        <w:tc>
          <w:tcPr>
            <w:tcW w:w="2553" w:type="dxa"/>
            <w:tcBorders>
              <w:top w:val="single" w:sz="4" w:space="0" w:color="000000"/>
              <w:left w:val="nil"/>
              <w:bottom w:val="single" w:sz="4" w:space="0" w:color="000000"/>
              <w:right w:val="nil"/>
            </w:tcBorders>
            <w:shd w:val="clear" w:color="auto" w:fill="E7E6E6"/>
          </w:tcPr>
          <w:p>
            <w:pPr>
              <w:pStyle w:val="TableParagraph"/>
              <w:ind w:left="122" w:right="371"/>
              <w:rPr>
                <w:b/>
                <w:sz w:val="16"/>
              </w:rPr>
            </w:pPr>
            <w:r>
              <w:rPr>
                <w:b/>
                <w:sz w:val="16"/>
              </w:rPr>
              <w:t>WHO prequalified or endorsed products</w:t>
            </w:r>
          </w:p>
        </w:tc>
        <w:tc>
          <w:tcPr>
            <w:tcW w:w="3401" w:type="dxa"/>
            <w:tcBorders>
              <w:top w:val="single" w:sz="4" w:space="0" w:color="000000"/>
              <w:left w:val="nil"/>
              <w:bottom w:val="single" w:sz="4" w:space="0" w:color="000000"/>
            </w:tcBorders>
            <w:shd w:val="clear" w:color="auto" w:fill="E7E6E6"/>
          </w:tcPr>
          <w:p>
            <w:pPr>
              <w:pStyle w:val="TableParagraph"/>
              <w:spacing w:line="194" w:lineRule="exact"/>
              <w:ind w:left="121"/>
              <w:rPr>
                <w:b/>
                <w:sz w:val="16"/>
              </w:rPr>
            </w:pPr>
            <w:r>
              <w:rPr>
                <w:b/>
                <w:sz w:val="16"/>
              </w:rPr>
              <w:t>WHO supporting documents</w:t>
            </w:r>
          </w:p>
        </w:tc>
      </w:tr>
      <w:tr>
        <w:trPr>
          <w:trHeight w:val="3935" w:hRule="atLeast"/>
        </w:trPr>
        <w:tc>
          <w:tcPr>
            <w:tcW w:w="1115" w:type="dxa"/>
            <w:vMerge w:val="restart"/>
            <w:tcBorders>
              <w:top w:val="single" w:sz="4" w:space="0" w:color="000000"/>
              <w:bottom w:val="single" w:sz="4" w:space="0" w:color="000000"/>
              <w:right w:val="nil"/>
            </w:tcBorders>
          </w:tcPr>
          <w:p>
            <w:pPr>
              <w:pStyle w:val="TableParagraph"/>
              <w:spacing w:line="198" w:lineRule="exact"/>
              <w:ind w:left="107"/>
              <w:rPr>
                <w:sz w:val="18"/>
              </w:rPr>
            </w:pPr>
            <w:r>
              <w:rPr>
                <w:sz w:val="18"/>
              </w:rPr>
              <w:t>Malaria</w:t>
            </w:r>
          </w:p>
        </w:tc>
        <w:tc>
          <w:tcPr>
            <w:tcW w:w="1838" w:type="dxa"/>
            <w:tcBorders>
              <w:top w:val="single" w:sz="4" w:space="0" w:color="000000"/>
              <w:left w:val="nil"/>
              <w:bottom w:val="single" w:sz="4" w:space="0" w:color="000000"/>
              <w:right w:val="nil"/>
            </w:tcBorders>
          </w:tcPr>
          <w:p>
            <w:pPr>
              <w:pStyle w:val="TableParagraph"/>
              <w:spacing w:line="198" w:lineRule="exact"/>
              <w:ind w:left="116"/>
              <w:rPr>
                <w:sz w:val="18"/>
              </w:rPr>
            </w:pPr>
            <w:r>
              <w:rPr>
                <w:i/>
                <w:sz w:val="18"/>
              </w:rPr>
              <w:t>Plasmodium </w:t>
            </w:r>
            <w:r>
              <w:rPr>
                <w:sz w:val="18"/>
              </w:rPr>
              <w:t>spp.</w:t>
            </w:r>
          </w:p>
          <w:p>
            <w:pPr>
              <w:pStyle w:val="TableParagraph"/>
              <w:ind w:left="116" w:right="296"/>
              <w:rPr>
                <w:sz w:val="18"/>
              </w:rPr>
            </w:pPr>
            <w:r>
              <w:rPr>
                <w:sz w:val="18"/>
              </w:rPr>
              <w:t>antigens; species specific (e.g. HRP2) and/or pan-species specific (e.g. pan- pLDH)</w:t>
            </w:r>
          </w:p>
        </w:tc>
        <w:tc>
          <w:tcPr>
            <w:tcW w:w="2127" w:type="dxa"/>
            <w:tcBorders>
              <w:top w:val="single" w:sz="4" w:space="0" w:color="000000"/>
              <w:left w:val="nil"/>
              <w:bottom w:val="single" w:sz="4" w:space="0" w:color="000000"/>
              <w:right w:val="nil"/>
            </w:tcBorders>
          </w:tcPr>
          <w:p>
            <w:pPr>
              <w:pStyle w:val="TableParagraph"/>
              <w:spacing w:line="198" w:lineRule="exact"/>
              <w:ind w:left="121"/>
              <w:rPr>
                <w:sz w:val="18"/>
              </w:rPr>
            </w:pPr>
            <w:r>
              <w:rPr>
                <w:sz w:val="18"/>
              </w:rPr>
              <w:t>For diagnosis of one or</w:t>
            </w:r>
          </w:p>
          <w:p>
            <w:pPr>
              <w:pStyle w:val="TableParagraph"/>
              <w:ind w:left="121" w:right="168"/>
              <w:rPr>
                <w:sz w:val="18"/>
              </w:rPr>
            </w:pPr>
            <w:r>
              <w:rPr>
                <w:sz w:val="18"/>
              </w:rPr>
              <w:t>more human malaria species (</w:t>
            </w:r>
            <w:r>
              <w:rPr>
                <w:i/>
                <w:sz w:val="18"/>
              </w:rPr>
              <w:t>P. falciparum, P. </w:t>
            </w:r>
            <w:r>
              <w:rPr>
                <w:i/>
                <w:sz w:val="18"/>
              </w:rPr>
              <w:t>vivax, P. malariae, P. ovale</w:t>
            </w:r>
            <w:r>
              <w:rPr>
                <w:sz w:val="18"/>
              </w:rPr>
              <w:t>)</w:t>
            </w:r>
          </w:p>
        </w:tc>
        <w:tc>
          <w:tcPr>
            <w:tcW w:w="1561" w:type="dxa"/>
            <w:tcBorders>
              <w:top w:val="single" w:sz="4" w:space="0" w:color="000000"/>
              <w:left w:val="nil"/>
              <w:bottom w:val="single" w:sz="4" w:space="0" w:color="000000"/>
              <w:right w:val="nil"/>
            </w:tcBorders>
          </w:tcPr>
          <w:p>
            <w:pPr>
              <w:pStyle w:val="TableParagraph"/>
              <w:spacing w:line="198" w:lineRule="exact"/>
              <w:ind w:left="121"/>
              <w:rPr>
                <w:sz w:val="18"/>
              </w:rPr>
            </w:pPr>
            <w:r>
              <w:rPr>
                <w:sz w:val="18"/>
              </w:rPr>
              <w:t>RDT</w:t>
            </w:r>
          </w:p>
        </w:tc>
        <w:tc>
          <w:tcPr>
            <w:tcW w:w="1842" w:type="dxa"/>
            <w:tcBorders>
              <w:top w:val="single" w:sz="4" w:space="0" w:color="000000"/>
              <w:left w:val="nil"/>
              <w:bottom w:val="single" w:sz="4" w:space="0" w:color="000000"/>
              <w:right w:val="nil"/>
            </w:tcBorders>
          </w:tcPr>
          <w:p>
            <w:pPr>
              <w:pStyle w:val="TableParagraph"/>
              <w:spacing w:line="198" w:lineRule="exact"/>
              <w:ind w:left="121"/>
              <w:rPr>
                <w:sz w:val="18"/>
              </w:rPr>
            </w:pPr>
            <w:r>
              <w:rPr>
                <w:sz w:val="18"/>
              </w:rPr>
              <w:t>Capillary whole blood</w:t>
            </w:r>
          </w:p>
          <w:p>
            <w:pPr>
              <w:pStyle w:val="TableParagraph"/>
              <w:spacing w:line="219" w:lineRule="exact"/>
              <w:ind w:left="121"/>
              <w:rPr>
                <w:sz w:val="18"/>
              </w:rPr>
            </w:pPr>
            <w:r>
              <w:rPr>
                <w:sz w:val="18"/>
              </w:rPr>
              <w:t>Venous whole blood</w:t>
            </w:r>
          </w:p>
        </w:tc>
        <w:tc>
          <w:tcPr>
            <w:tcW w:w="2553" w:type="dxa"/>
            <w:tcBorders>
              <w:top w:val="single" w:sz="4" w:space="0" w:color="000000"/>
              <w:left w:val="nil"/>
              <w:bottom w:val="single" w:sz="4" w:space="0" w:color="000000"/>
              <w:right w:val="nil"/>
            </w:tcBorders>
          </w:tcPr>
          <w:p>
            <w:pPr>
              <w:pStyle w:val="TableParagraph"/>
              <w:spacing w:line="198" w:lineRule="exact"/>
              <w:ind w:left="122"/>
              <w:rPr>
                <w:sz w:val="18"/>
              </w:rPr>
            </w:pPr>
            <w:hyperlink r:id="rId98">
              <w:r>
                <w:rPr>
                  <w:color w:val="0462C1"/>
                  <w:sz w:val="18"/>
                  <w:u w:val="single" w:color="0462C1"/>
                </w:rPr>
                <w:t>http://www.who.int/diagnostic</w:t>
              </w:r>
            </w:hyperlink>
          </w:p>
          <w:p>
            <w:pPr>
              <w:pStyle w:val="TableParagraph"/>
              <w:ind w:left="122"/>
              <w:rPr>
                <w:sz w:val="18"/>
              </w:rPr>
            </w:pPr>
            <w:hyperlink r:id="rId98">
              <w:r>
                <w:rPr>
                  <w:color w:val="0462C1"/>
                  <w:sz w:val="18"/>
                  <w:u w:val="single" w:color="0462C1"/>
                </w:rPr>
                <w:t>s_laboratory/evaluations/pq-</w:t>
              </w:r>
            </w:hyperlink>
            <w:r>
              <w:rPr>
                <w:color w:val="0462C1"/>
                <w:sz w:val="18"/>
              </w:rPr>
              <w:t> </w:t>
            </w:r>
            <w:hyperlink r:id="rId98">
              <w:r>
                <w:rPr>
                  <w:color w:val="0462C1"/>
                  <w:sz w:val="18"/>
                  <w:u w:val="single" w:color="0462C1"/>
                </w:rPr>
                <w:t>list/malaria/public_report/en/</w:t>
              </w:r>
            </w:hyperlink>
          </w:p>
        </w:tc>
        <w:tc>
          <w:tcPr>
            <w:tcW w:w="3401" w:type="dxa"/>
            <w:tcBorders>
              <w:top w:val="single" w:sz="4" w:space="0" w:color="000000"/>
              <w:left w:val="nil"/>
              <w:bottom w:val="single" w:sz="4" w:space="0" w:color="000000"/>
            </w:tcBorders>
          </w:tcPr>
          <w:p>
            <w:pPr>
              <w:pStyle w:val="TableParagraph"/>
              <w:spacing w:line="198" w:lineRule="exact"/>
              <w:ind w:left="121"/>
              <w:rPr>
                <w:sz w:val="18"/>
              </w:rPr>
            </w:pPr>
            <w:r>
              <w:rPr>
                <w:sz w:val="18"/>
              </w:rPr>
              <w:t>WHO guidelines for the treatment of</w:t>
            </w:r>
          </w:p>
          <w:p>
            <w:pPr>
              <w:pStyle w:val="TableParagraph"/>
              <w:ind w:left="121" w:right="137"/>
              <w:rPr>
                <w:sz w:val="18"/>
              </w:rPr>
            </w:pPr>
            <w:r>
              <w:rPr>
                <w:sz w:val="18"/>
              </w:rPr>
              <w:t>malaria, third edition (2015) </w:t>
            </w:r>
            <w:hyperlink r:id="rId99">
              <w:r>
                <w:rPr>
                  <w:color w:val="0462C1"/>
                  <w:sz w:val="18"/>
                  <w:u w:val="single" w:color="0462C1"/>
                </w:rPr>
                <w:t>http://apps.who.int/iris/bitstream/10665/</w:t>
              </w:r>
            </w:hyperlink>
            <w:r>
              <w:rPr>
                <w:color w:val="0462C1"/>
                <w:sz w:val="18"/>
              </w:rPr>
              <w:t> </w:t>
            </w:r>
            <w:hyperlink r:id="rId99">
              <w:r>
                <w:rPr>
                  <w:color w:val="0462C1"/>
                  <w:sz w:val="18"/>
                  <w:u w:val="single" w:color="0462C1"/>
                </w:rPr>
                <w:t>162441/1/9789241549127_eng.pdf</w:t>
              </w:r>
            </w:hyperlink>
          </w:p>
          <w:p>
            <w:pPr>
              <w:pStyle w:val="TableParagraph"/>
              <w:rPr>
                <w:rFonts w:ascii="Times New Roman"/>
                <w:sz w:val="19"/>
              </w:rPr>
            </w:pPr>
          </w:p>
          <w:p>
            <w:pPr>
              <w:pStyle w:val="TableParagraph"/>
              <w:ind w:left="121" w:right="139"/>
              <w:jc w:val="both"/>
              <w:rPr>
                <w:sz w:val="18"/>
              </w:rPr>
            </w:pPr>
            <w:r>
              <w:rPr>
                <w:sz w:val="18"/>
              </w:rPr>
              <w:t>Malaria rapid diagnostic test performance: Results of WHO product testing of malaria RDTs: Round 7 (2015–2016)</w:t>
            </w:r>
          </w:p>
          <w:p>
            <w:pPr>
              <w:pStyle w:val="TableParagraph"/>
              <w:spacing w:before="1"/>
              <w:ind w:left="121"/>
              <w:rPr>
                <w:sz w:val="18"/>
              </w:rPr>
            </w:pPr>
            <w:hyperlink r:id="rId100">
              <w:r>
                <w:rPr>
                  <w:color w:val="0462C1"/>
                  <w:sz w:val="18"/>
                  <w:u w:val="single" w:color="0462C1"/>
                </w:rPr>
                <w:t>http://www.who.int/malaria/publications/</w:t>
              </w:r>
            </w:hyperlink>
            <w:r>
              <w:rPr>
                <w:color w:val="0462C1"/>
                <w:sz w:val="18"/>
              </w:rPr>
              <w:t> </w:t>
            </w:r>
            <w:hyperlink r:id="rId100">
              <w:r>
                <w:rPr>
                  <w:color w:val="0462C1"/>
                  <w:sz w:val="18"/>
                  <w:u w:val="single" w:color="0462C1"/>
                </w:rPr>
                <w:t>atoz/978924151268/en/</w:t>
              </w:r>
            </w:hyperlink>
          </w:p>
          <w:p>
            <w:pPr>
              <w:pStyle w:val="TableParagraph"/>
              <w:spacing w:before="2"/>
              <w:rPr>
                <w:rFonts w:ascii="Times New Roman"/>
                <w:sz w:val="19"/>
              </w:rPr>
            </w:pPr>
          </w:p>
          <w:p>
            <w:pPr>
              <w:pStyle w:val="TableParagraph"/>
              <w:ind w:left="121" w:right="100"/>
              <w:rPr>
                <w:sz w:val="18"/>
              </w:rPr>
            </w:pPr>
            <w:r>
              <w:rPr>
                <w:sz w:val="18"/>
              </w:rPr>
              <w:t>WHO good practices for selecting and procuring rapid diagnostic tests for malaria (2011)</w:t>
            </w:r>
          </w:p>
          <w:p>
            <w:pPr>
              <w:pStyle w:val="TableParagraph"/>
              <w:ind w:left="121" w:right="112"/>
              <w:jc w:val="both"/>
              <w:rPr>
                <w:sz w:val="18"/>
              </w:rPr>
            </w:pPr>
            <w:hyperlink r:id="rId101">
              <w:r>
                <w:rPr>
                  <w:color w:val="0462C1"/>
                  <w:sz w:val="18"/>
                  <w:u w:val="single" w:color="0462C1"/>
                </w:rPr>
                <w:t>http://apps.who.int/iris/bitstream/handle/</w:t>
              </w:r>
            </w:hyperlink>
            <w:r>
              <w:rPr>
                <w:color w:val="0462C1"/>
                <w:sz w:val="18"/>
              </w:rPr>
              <w:t> </w:t>
            </w:r>
            <w:hyperlink r:id="rId101">
              <w:r>
                <w:rPr>
                  <w:color w:val="0462C1"/>
                  <w:sz w:val="18"/>
                  <w:u w:val="single" w:color="0462C1"/>
                </w:rPr>
                <w:t>10665/44530/9789241501125_eng.pdf?se</w:t>
              </w:r>
            </w:hyperlink>
            <w:r>
              <w:rPr>
                <w:color w:val="0462C1"/>
                <w:sz w:val="18"/>
              </w:rPr>
              <w:t> </w:t>
            </w:r>
            <w:hyperlink r:id="rId101">
              <w:r>
                <w:rPr>
                  <w:color w:val="0462C1"/>
                  <w:sz w:val="18"/>
                  <w:u w:val="single" w:color="0462C1"/>
                </w:rPr>
                <w:t>quence=1</w:t>
              </w:r>
            </w:hyperlink>
          </w:p>
        </w:tc>
      </w:tr>
      <w:tr>
        <w:trPr>
          <w:trHeight w:val="3516" w:hRule="atLeast"/>
        </w:trPr>
        <w:tc>
          <w:tcPr>
            <w:tcW w:w="1115" w:type="dxa"/>
            <w:vMerge/>
            <w:tcBorders>
              <w:top w:val="nil"/>
              <w:bottom w:val="single" w:sz="4" w:space="0" w:color="000000"/>
              <w:right w:val="nil"/>
            </w:tcBorders>
          </w:tcPr>
          <w:p>
            <w:pPr>
              <w:rPr>
                <w:sz w:val="2"/>
                <w:szCs w:val="2"/>
              </w:rPr>
            </w:pPr>
          </w:p>
        </w:tc>
        <w:tc>
          <w:tcPr>
            <w:tcW w:w="1838" w:type="dxa"/>
            <w:tcBorders>
              <w:top w:val="single" w:sz="4" w:space="0" w:color="000000"/>
              <w:left w:val="nil"/>
              <w:bottom w:val="single" w:sz="4" w:space="0" w:color="000000"/>
              <w:right w:val="nil"/>
            </w:tcBorders>
          </w:tcPr>
          <w:p>
            <w:pPr>
              <w:pStyle w:val="TableParagraph"/>
              <w:spacing w:line="219" w:lineRule="exact"/>
              <w:ind w:left="116"/>
              <w:rPr>
                <w:sz w:val="18"/>
              </w:rPr>
            </w:pPr>
            <w:r>
              <w:rPr>
                <w:i/>
                <w:sz w:val="18"/>
              </w:rPr>
              <w:t>Plasmodium </w:t>
            </w:r>
            <w:r>
              <w:rPr>
                <w:sz w:val="18"/>
              </w:rPr>
              <w:t>spp.</w:t>
            </w:r>
          </w:p>
        </w:tc>
        <w:tc>
          <w:tcPr>
            <w:tcW w:w="2127" w:type="dxa"/>
            <w:tcBorders>
              <w:top w:val="single" w:sz="4" w:space="0" w:color="000000"/>
              <w:left w:val="nil"/>
              <w:bottom w:val="single" w:sz="4" w:space="0" w:color="000000"/>
              <w:right w:val="nil"/>
            </w:tcBorders>
          </w:tcPr>
          <w:p>
            <w:pPr>
              <w:pStyle w:val="TableParagraph"/>
              <w:ind w:left="121" w:right="149"/>
              <w:rPr>
                <w:sz w:val="18"/>
              </w:rPr>
            </w:pPr>
            <w:r>
              <w:rPr>
                <w:sz w:val="18"/>
              </w:rPr>
              <w:t>For diagnosis of one or more human malaria species (</w:t>
            </w:r>
            <w:r>
              <w:rPr>
                <w:i/>
                <w:sz w:val="18"/>
              </w:rPr>
              <w:t>P. falciparum, P. </w:t>
            </w:r>
            <w:r>
              <w:rPr>
                <w:i/>
                <w:sz w:val="18"/>
              </w:rPr>
              <w:t>vivax, P. malariae, P. ovale </w:t>
            </w:r>
            <w:r>
              <w:rPr>
                <w:sz w:val="18"/>
              </w:rPr>
              <w:t>and </w:t>
            </w:r>
            <w:r>
              <w:rPr>
                <w:i/>
                <w:sz w:val="18"/>
              </w:rPr>
              <w:t>P. knowlesi</w:t>
            </w:r>
            <w:r>
              <w:rPr>
                <w:sz w:val="18"/>
              </w:rPr>
              <w:t>) and monitoring response to treatment</w:t>
            </w:r>
          </w:p>
        </w:tc>
        <w:tc>
          <w:tcPr>
            <w:tcW w:w="1561" w:type="dxa"/>
            <w:tcBorders>
              <w:top w:val="single" w:sz="4" w:space="0" w:color="000000"/>
              <w:left w:val="nil"/>
              <w:bottom w:val="single" w:sz="4" w:space="0" w:color="000000"/>
              <w:right w:val="nil"/>
            </w:tcBorders>
          </w:tcPr>
          <w:p>
            <w:pPr>
              <w:pStyle w:val="TableParagraph"/>
              <w:spacing w:line="219" w:lineRule="exact"/>
              <w:ind w:left="121"/>
              <w:rPr>
                <w:sz w:val="18"/>
              </w:rPr>
            </w:pPr>
            <w:r>
              <w:rPr>
                <w:sz w:val="18"/>
              </w:rPr>
              <w:t>Light microscopy</w:t>
            </w:r>
          </w:p>
        </w:tc>
        <w:tc>
          <w:tcPr>
            <w:tcW w:w="1842" w:type="dxa"/>
            <w:tcBorders>
              <w:top w:val="single" w:sz="4" w:space="0" w:color="000000"/>
              <w:left w:val="nil"/>
              <w:bottom w:val="single" w:sz="4" w:space="0" w:color="000000"/>
              <w:right w:val="nil"/>
            </w:tcBorders>
          </w:tcPr>
          <w:p>
            <w:pPr>
              <w:pStyle w:val="TableParagraph"/>
              <w:ind w:left="121" w:right="119"/>
              <w:rPr>
                <w:sz w:val="18"/>
              </w:rPr>
            </w:pPr>
            <w:r>
              <w:rPr>
                <w:sz w:val="18"/>
              </w:rPr>
              <w:t>Capillary whole blood Venous whole blood</w:t>
            </w:r>
          </w:p>
        </w:tc>
        <w:tc>
          <w:tcPr>
            <w:tcW w:w="2553" w:type="dxa"/>
            <w:tcBorders>
              <w:top w:val="single" w:sz="4" w:space="0" w:color="000000"/>
              <w:left w:val="nil"/>
              <w:bottom w:val="single" w:sz="4" w:space="0" w:color="000000"/>
              <w:right w:val="nil"/>
            </w:tcBorders>
          </w:tcPr>
          <w:p>
            <w:pPr>
              <w:pStyle w:val="TableParagraph"/>
              <w:spacing w:line="219" w:lineRule="exact"/>
              <w:ind w:left="122"/>
              <w:rPr>
                <w:sz w:val="18"/>
              </w:rPr>
            </w:pPr>
            <w:r>
              <w:rPr>
                <w:sz w:val="18"/>
              </w:rPr>
              <w:t>N/A</w:t>
            </w:r>
          </w:p>
        </w:tc>
        <w:tc>
          <w:tcPr>
            <w:tcW w:w="3401" w:type="dxa"/>
            <w:tcBorders>
              <w:top w:val="single" w:sz="4" w:space="0" w:color="000000"/>
              <w:left w:val="nil"/>
              <w:bottom w:val="single" w:sz="4" w:space="0" w:color="000000"/>
            </w:tcBorders>
          </w:tcPr>
          <w:p>
            <w:pPr>
              <w:pStyle w:val="TableParagraph"/>
              <w:ind w:left="121" w:right="137"/>
              <w:rPr>
                <w:sz w:val="18"/>
              </w:rPr>
            </w:pPr>
            <w:r>
              <w:rPr>
                <w:sz w:val="18"/>
              </w:rPr>
              <w:t>WHO guidelines for the treatment of malaria, third edition (2015) </w:t>
            </w:r>
            <w:hyperlink r:id="rId99">
              <w:r>
                <w:rPr>
                  <w:color w:val="0462C1"/>
                  <w:sz w:val="18"/>
                  <w:u w:val="single" w:color="0462C1"/>
                </w:rPr>
                <w:t>http://apps.who.int/iris/bitstream/10665/</w:t>
              </w:r>
            </w:hyperlink>
            <w:r>
              <w:rPr>
                <w:color w:val="0462C1"/>
                <w:sz w:val="18"/>
              </w:rPr>
              <w:t> </w:t>
            </w:r>
            <w:hyperlink r:id="rId99">
              <w:r>
                <w:rPr>
                  <w:color w:val="0462C1"/>
                  <w:sz w:val="18"/>
                  <w:u w:val="single" w:color="0462C1"/>
                </w:rPr>
                <w:t>162441/1/9789241549127_eng.pdf</w:t>
              </w:r>
            </w:hyperlink>
          </w:p>
          <w:p>
            <w:pPr>
              <w:pStyle w:val="TableParagraph"/>
              <w:spacing w:before="1"/>
              <w:rPr>
                <w:rFonts w:ascii="Times New Roman"/>
                <w:sz w:val="19"/>
              </w:rPr>
            </w:pPr>
          </w:p>
          <w:p>
            <w:pPr>
              <w:pStyle w:val="TableParagraph"/>
              <w:ind w:left="121" w:right="93"/>
              <w:rPr>
                <w:sz w:val="18"/>
              </w:rPr>
            </w:pPr>
            <w:r>
              <w:rPr>
                <w:sz w:val="18"/>
              </w:rPr>
              <w:t>Basic malaria microscopy Part I: Learner’s guide (2010) </w:t>
            </w:r>
            <w:hyperlink r:id="rId102">
              <w:r>
                <w:rPr>
                  <w:color w:val="0462C1"/>
                  <w:sz w:val="18"/>
                  <w:u w:val="single" w:color="0462C1"/>
                </w:rPr>
                <w:t>http://apps.who.int/iris/bitstream/handle/</w:t>
              </w:r>
            </w:hyperlink>
            <w:r>
              <w:rPr>
                <w:color w:val="0462C1"/>
                <w:sz w:val="18"/>
              </w:rPr>
              <w:t> </w:t>
            </w:r>
            <w:hyperlink r:id="rId102">
              <w:r>
                <w:rPr>
                  <w:color w:val="0462C1"/>
                  <w:sz w:val="18"/>
                  <w:u w:val="single" w:color="0462C1"/>
                </w:rPr>
                <w:t>10665/44208/9789241547826_eng.pdf?se</w:t>
              </w:r>
            </w:hyperlink>
            <w:r>
              <w:rPr>
                <w:color w:val="0462C1"/>
                <w:sz w:val="18"/>
              </w:rPr>
              <w:t> </w:t>
            </w:r>
            <w:hyperlink r:id="rId102">
              <w:r>
                <w:rPr>
                  <w:color w:val="0462C1"/>
                  <w:sz w:val="18"/>
                  <w:u w:val="single" w:color="0462C1"/>
                </w:rPr>
                <w:t>quence=1</w:t>
              </w:r>
            </w:hyperlink>
          </w:p>
          <w:p>
            <w:pPr>
              <w:pStyle w:val="TableParagraph"/>
              <w:rPr>
                <w:rFonts w:ascii="Times New Roman"/>
                <w:sz w:val="19"/>
              </w:rPr>
            </w:pPr>
          </w:p>
          <w:p>
            <w:pPr>
              <w:pStyle w:val="TableParagraph"/>
              <w:ind w:left="121"/>
              <w:rPr>
                <w:sz w:val="18"/>
              </w:rPr>
            </w:pPr>
            <w:r>
              <w:rPr>
                <w:sz w:val="18"/>
              </w:rPr>
              <w:t>Malaria microscopy standard operating procedures (2015) </w:t>
            </w:r>
            <w:hyperlink r:id="rId103">
              <w:r>
                <w:rPr>
                  <w:color w:val="0462C1"/>
                  <w:sz w:val="18"/>
                  <w:u w:val="single" w:color="0462C1"/>
                </w:rPr>
                <w:t>http://www.wpro.who.int/mvp/lab_quality</w:t>
              </w:r>
            </w:hyperlink>
          </w:p>
          <w:p>
            <w:pPr>
              <w:pStyle w:val="TableParagraph"/>
              <w:spacing w:before="1"/>
              <w:ind w:left="121"/>
              <w:rPr>
                <w:sz w:val="18"/>
              </w:rPr>
            </w:pPr>
            <w:hyperlink r:id="rId103">
              <w:r>
                <w:rPr>
                  <w:color w:val="0462C1"/>
                  <w:sz w:val="18"/>
                  <w:u w:val="single" w:color="0462C1"/>
                </w:rPr>
                <w:t>/mm_sop/en/</w:t>
              </w:r>
            </w:hyperlink>
          </w:p>
        </w:tc>
      </w:tr>
    </w:tbl>
    <w:p>
      <w:pPr>
        <w:spacing w:after="0"/>
        <w:rPr>
          <w:sz w:val="18"/>
        </w:rPr>
        <w:sectPr>
          <w:headerReference w:type="default" r:id="rId288"/>
          <w:footerReference w:type="default" r:id="rId289"/>
          <w:pgSz w:w="16840" w:h="11910" w:orient="landscape"/>
          <w:pgMar w:header="0" w:footer="495" w:top="1100" w:bottom="680" w:left="1180" w:right="920"/>
          <w:pgNumType w:start="23"/>
        </w:sectPr>
      </w:pPr>
    </w:p>
    <w:p>
      <w:pPr>
        <w:pStyle w:val="BodyText"/>
        <w:rPr>
          <w:rFonts w:ascii="Times New Roman"/>
          <w:sz w:val="29"/>
        </w:rPr>
      </w:pPr>
      <w:r>
        <w:rPr/>
        <w:pict>
          <v:group style="position:absolute;margin-left:122.300003pt;margin-top:98.660004pt;width:.5pt;height:223.85pt;mso-position-horizontal-relative:page;mso-position-vertical-relative:page;z-index:-122176" coordorigin="2446,1973" coordsize="10,4477">
            <v:shape style="position:absolute;left:2446;top:1973;width:10;height:512" type="#_x0000_t75" stroked="false">
              <v:imagedata r:id="rId266" o:title=""/>
            </v:shape>
            <v:shape style="position:absolute;left:2446;top:2484;width:10;height:10" type="#_x0000_t75" stroked="false">
              <v:imagedata r:id="rId277" o:title=""/>
            </v:shape>
            <v:shape style="position:absolute;left:2446;top:2494;width:10;height:3957" type="#_x0000_t75" stroked="false">
              <v:imagedata r:id="rId296" o:title=""/>
            </v:shape>
            <w10:wrap type="none"/>
          </v:group>
        </w:pict>
      </w:r>
      <w:r>
        <w:rPr/>
        <w:pict>
          <v:group style="position:absolute;margin-left:214.460007pt;margin-top:98.660004pt;width:.5pt;height:223.85pt;mso-position-horizontal-relative:page;mso-position-vertical-relative:page;z-index:-122152" coordorigin="4289,1973" coordsize="10,4477">
            <v:shape style="position:absolute;left:4289;top:1973;width:10;height:512" type="#_x0000_t75" stroked="false">
              <v:imagedata r:id="rId266" o:title=""/>
            </v:shape>
            <v:shape style="position:absolute;left:4289;top:2484;width:10;height:10" type="#_x0000_t75" stroked="false">
              <v:imagedata r:id="rId277" o:title=""/>
            </v:shape>
            <v:shape style="position:absolute;left:4289;top:2494;width:10;height:3957" type="#_x0000_t75" stroked="false">
              <v:imagedata r:id="rId296" o:title=""/>
            </v:shape>
            <w10:wrap type="none"/>
          </v:group>
        </w:pict>
      </w:r>
      <w:r>
        <w:rPr/>
        <w:pict>
          <v:group style="position:absolute;margin-left:398.829987pt;margin-top:98.660004pt;width:.5pt;height:223.85pt;mso-position-horizontal-relative:page;mso-position-vertical-relative:page;z-index:-122128" coordorigin="7977,1973" coordsize="10,4477">
            <v:shape style="position:absolute;left:7976;top:1973;width:10;height:512" type="#_x0000_t75" stroked="false">
              <v:imagedata r:id="rId266" o:title=""/>
            </v:shape>
            <v:shape style="position:absolute;left:7976;top:2484;width:10;height:10" type="#_x0000_t75" stroked="false">
              <v:imagedata r:id="rId277" o:title=""/>
            </v:shape>
            <v:shape style="position:absolute;left:7976;top:2494;width:10;height:3957" type="#_x0000_t75" stroked="false">
              <v:imagedata r:id="rId296" o:title=""/>
            </v:shape>
            <w10:wrap type="none"/>
          </v:group>
        </w:pict>
      </w:r>
      <w:r>
        <w:rPr/>
        <w:pict>
          <v:group style="position:absolute;margin-left:490.98999pt;margin-top:98.660004pt;width:.5pt;height:223.85pt;mso-position-horizontal-relative:page;mso-position-vertical-relative:page;z-index:-122104" coordorigin="9820,1973" coordsize="10,4477">
            <v:shape style="position:absolute;left:9819;top:1973;width:10;height:512" type="#_x0000_t75" stroked="false">
              <v:imagedata r:id="rId266" o:title=""/>
            </v:shape>
            <v:shape style="position:absolute;left:9819;top:2484;width:10;height:3966" type="#_x0000_t75" stroked="false">
              <v:imagedata r:id="rId297" o:title=""/>
            </v:shape>
            <w10:wrap type="none"/>
          </v:group>
        </w:pict>
      </w:r>
      <w:r>
        <w:rPr/>
        <w:pict>
          <v:group style="position:absolute;margin-left:618.580017pt;margin-top:98.660004pt;width:.5pt;height:223.85pt;mso-position-horizontal-relative:page;mso-position-vertical-relative:page;z-index:-122080" coordorigin="12372,1973" coordsize="10,4477">
            <v:shape style="position:absolute;left:12371;top:1973;width:10;height:521" type="#_x0000_t75" stroked="false">
              <v:imagedata r:id="rId281" o:title=""/>
            </v:shape>
            <v:shape style="position:absolute;left:12371;top:2494;width:10;height:3957" type="#_x0000_t75" stroked="false">
              <v:imagedata r:id="rId296" o:title=""/>
            </v:shape>
            <w10:wrap type="none"/>
          </v:group>
        </w:pict>
      </w:r>
      <w:r>
        <w:rPr/>
        <w:drawing>
          <wp:anchor distT="0" distB="0" distL="0" distR="0" allowOverlap="1" layoutInCell="1" locked="0" behindDoc="1" simplePos="0" relativeHeight="268313399">
            <wp:simplePos x="0" y="0"/>
            <wp:positionH relativeFrom="page">
              <wp:posOffset>4074286</wp:posOffset>
            </wp:positionH>
            <wp:positionV relativeFrom="page">
              <wp:posOffset>1252982</wp:posOffset>
            </wp:positionV>
            <wp:extent cx="6096" cy="2843022"/>
            <wp:effectExtent l="0" t="0" r="0" b="0"/>
            <wp:wrapNone/>
            <wp:docPr id="51" name="image220.png" descr=""/>
            <wp:cNvGraphicFramePr>
              <a:graphicFrameLocks noChangeAspect="1"/>
            </wp:cNvGraphicFramePr>
            <a:graphic>
              <a:graphicData uri="http://schemas.openxmlformats.org/drawingml/2006/picture">
                <pic:pic>
                  <pic:nvPicPr>
                    <pic:cNvPr id="52" name="image220.png"/>
                    <pic:cNvPicPr/>
                  </pic:nvPicPr>
                  <pic:blipFill>
                    <a:blip r:embed="rId298" cstate="print"/>
                    <a:stretch>
                      <a:fillRect/>
                    </a:stretch>
                  </pic:blipFill>
                  <pic:spPr>
                    <a:xfrm>
                      <a:off x="0" y="0"/>
                      <a:ext cx="6096" cy="2843022"/>
                    </a:xfrm>
                    <a:prstGeom prst="rect">
                      <a:avLst/>
                    </a:prstGeom>
                  </pic:spPr>
                </pic:pic>
              </a:graphicData>
            </a:graphic>
          </wp:anchor>
        </w:drawing>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5"/>
        <w:gridCol w:w="1837"/>
        <w:gridCol w:w="2127"/>
        <w:gridCol w:w="1561"/>
        <w:gridCol w:w="1842"/>
        <w:gridCol w:w="2553"/>
        <w:gridCol w:w="3401"/>
      </w:tblGrid>
      <w:tr>
        <w:trPr>
          <w:trHeight w:val="513" w:hRule="atLeast"/>
        </w:trPr>
        <w:tc>
          <w:tcPr>
            <w:tcW w:w="14436" w:type="dxa"/>
            <w:gridSpan w:val="7"/>
            <w:tcBorders>
              <w:left w:val="single" w:sz="12" w:space="0" w:color="000000"/>
              <w:right w:val="single" w:sz="12" w:space="0" w:color="000000"/>
            </w:tcBorders>
            <w:shd w:val="clear" w:color="auto" w:fill="E7E6E6"/>
          </w:tcPr>
          <w:p>
            <w:pPr>
              <w:pStyle w:val="TableParagraph"/>
              <w:spacing w:line="292" w:lineRule="exact"/>
              <w:ind w:left="107"/>
              <w:rPr>
                <w:b/>
                <w:sz w:val="24"/>
              </w:rPr>
            </w:pPr>
            <w:r>
              <w:rPr>
                <w:b/>
                <w:sz w:val="22"/>
              </w:rPr>
              <w:t>II.b </w:t>
            </w:r>
            <w:r>
              <w:rPr>
                <w:b/>
                <w:sz w:val="24"/>
              </w:rPr>
              <w:t>Disease-specific IVDs for health care facilities with clinical laboratories</w:t>
            </w:r>
          </w:p>
        </w:tc>
      </w:tr>
      <w:tr>
        <w:trPr>
          <w:trHeight w:val="510" w:hRule="atLeast"/>
        </w:trPr>
        <w:tc>
          <w:tcPr>
            <w:tcW w:w="1115" w:type="dxa"/>
            <w:tcBorders>
              <w:left w:val="single" w:sz="12" w:space="0" w:color="000000"/>
              <w:right w:val="nil"/>
            </w:tcBorders>
            <w:shd w:val="clear" w:color="auto" w:fill="E7E6E6"/>
          </w:tcPr>
          <w:p>
            <w:pPr>
              <w:pStyle w:val="TableParagraph"/>
              <w:rPr>
                <w:rFonts w:ascii="Times New Roman"/>
                <w:sz w:val="18"/>
              </w:rPr>
            </w:pPr>
          </w:p>
        </w:tc>
        <w:tc>
          <w:tcPr>
            <w:tcW w:w="1837" w:type="dxa"/>
            <w:tcBorders>
              <w:left w:val="nil"/>
              <w:right w:val="nil"/>
            </w:tcBorders>
            <w:shd w:val="clear" w:color="auto" w:fill="E7E6E6"/>
          </w:tcPr>
          <w:p>
            <w:pPr>
              <w:pStyle w:val="TableParagraph"/>
              <w:spacing w:line="194" w:lineRule="exact"/>
              <w:ind w:left="116"/>
              <w:rPr>
                <w:b/>
                <w:sz w:val="16"/>
              </w:rPr>
            </w:pPr>
            <w:r>
              <w:rPr>
                <w:b/>
                <w:sz w:val="16"/>
              </w:rPr>
              <w:t>Diagnostic test</w:t>
            </w:r>
          </w:p>
        </w:tc>
        <w:tc>
          <w:tcPr>
            <w:tcW w:w="2127" w:type="dxa"/>
            <w:tcBorders>
              <w:left w:val="nil"/>
              <w:right w:val="nil"/>
            </w:tcBorders>
            <w:shd w:val="clear" w:color="auto" w:fill="E7E6E6"/>
          </w:tcPr>
          <w:p>
            <w:pPr>
              <w:pStyle w:val="TableParagraph"/>
              <w:spacing w:line="194" w:lineRule="exact"/>
              <w:ind w:left="122"/>
              <w:rPr>
                <w:b/>
                <w:sz w:val="16"/>
              </w:rPr>
            </w:pPr>
            <w:r>
              <w:rPr>
                <w:b/>
                <w:sz w:val="16"/>
              </w:rPr>
              <w:t>Test purpose</w:t>
            </w:r>
          </w:p>
        </w:tc>
        <w:tc>
          <w:tcPr>
            <w:tcW w:w="1561" w:type="dxa"/>
            <w:tcBorders>
              <w:left w:val="nil"/>
              <w:right w:val="nil"/>
            </w:tcBorders>
            <w:shd w:val="clear" w:color="auto" w:fill="E7E6E6"/>
          </w:tcPr>
          <w:p>
            <w:pPr>
              <w:pStyle w:val="TableParagraph"/>
              <w:spacing w:line="194" w:lineRule="exact"/>
              <w:ind w:left="122"/>
              <w:rPr>
                <w:b/>
                <w:sz w:val="16"/>
              </w:rPr>
            </w:pPr>
            <w:r>
              <w:rPr>
                <w:b/>
                <w:sz w:val="16"/>
              </w:rPr>
              <w:t>Assay format</w:t>
            </w:r>
          </w:p>
        </w:tc>
        <w:tc>
          <w:tcPr>
            <w:tcW w:w="1842" w:type="dxa"/>
            <w:tcBorders>
              <w:left w:val="nil"/>
              <w:right w:val="nil"/>
            </w:tcBorders>
            <w:shd w:val="clear" w:color="auto" w:fill="E7E6E6"/>
          </w:tcPr>
          <w:p>
            <w:pPr>
              <w:pStyle w:val="TableParagraph"/>
              <w:spacing w:line="194" w:lineRule="exact"/>
              <w:ind w:left="122"/>
              <w:rPr>
                <w:b/>
                <w:sz w:val="16"/>
              </w:rPr>
            </w:pPr>
            <w:r>
              <w:rPr>
                <w:b/>
                <w:sz w:val="16"/>
              </w:rPr>
              <w:t>Specimen type</w:t>
            </w:r>
          </w:p>
        </w:tc>
        <w:tc>
          <w:tcPr>
            <w:tcW w:w="2553" w:type="dxa"/>
            <w:tcBorders>
              <w:left w:val="nil"/>
              <w:right w:val="nil"/>
            </w:tcBorders>
            <w:shd w:val="clear" w:color="auto" w:fill="E7E6E6"/>
          </w:tcPr>
          <w:p>
            <w:pPr>
              <w:pStyle w:val="TableParagraph"/>
              <w:ind w:left="123" w:right="370"/>
              <w:rPr>
                <w:b/>
                <w:sz w:val="16"/>
              </w:rPr>
            </w:pPr>
            <w:r>
              <w:rPr>
                <w:b/>
                <w:sz w:val="16"/>
              </w:rPr>
              <w:t>WHO prequalified or endorsed products</w:t>
            </w:r>
          </w:p>
        </w:tc>
        <w:tc>
          <w:tcPr>
            <w:tcW w:w="3401" w:type="dxa"/>
            <w:tcBorders>
              <w:left w:val="nil"/>
              <w:right w:val="single" w:sz="12" w:space="0" w:color="000000"/>
            </w:tcBorders>
            <w:shd w:val="clear" w:color="auto" w:fill="E7E6E6"/>
          </w:tcPr>
          <w:p>
            <w:pPr>
              <w:pStyle w:val="TableParagraph"/>
              <w:spacing w:line="194" w:lineRule="exact"/>
              <w:ind w:left="122"/>
              <w:rPr>
                <w:b/>
                <w:sz w:val="16"/>
              </w:rPr>
            </w:pPr>
            <w:r>
              <w:rPr>
                <w:b/>
                <w:sz w:val="16"/>
              </w:rPr>
              <w:t>WHO supporting documents</w:t>
            </w:r>
          </w:p>
        </w:tc>
      </w:tr>
      <w:tr>
        <w:trPr>
          <w:trHeight w:val="3955" w:hRule="atLeast"/>
        </w:trPr>
        <w:tc>
          <w:tcPr>
            <w:tcW w:w="1115" w:type="dxa"/>
            <w:tcBorders>
              <w:left w:val="single" w:sz="12" w:space="0" w:color="000000"/>
              <w:right w:val="nil"/>
            </w:tcBorders>
          </w:tcPr>
          <w:p>
            <w:pPr>
              <w:pStyle w:val="TableParagraph"/>
              <w:spacing w:line="219" w:lineRule="exact"/>
              <w:ind w:left="107"/>
              <w:rPr>
                <w:sz w:val="18"/>
              </w:rPr>
            </w:pPr>
            <w:r>
              <w:rPr>
                <w:sz w:val="18"/>
              </w:rPr>
              <w:t>Malaria</w:t>
            </w:r>
          </w:p>
        </w:tc>
        <w:tc>
          <w:tcPr>
            <w:tcW w:w="1837" w:type="dxa"/>
            <w:tcBorders>
              <w:left w:val="nil"/>
              <w:right w:val="nil"/>
            </w:tcBorders>
          </w:tcPr>
          <w:p>
            <w:pPr>
              <w:pStyle w:val="TableParagraph"/>
              <w:ind w:left="116" w:right="139"/>
              <w:rPr>
                <w:sz w:val="18"/>
              </w:rPr>
            </w:pPr>
            <w:r>
              <w:rPr>
                <w:sz w:val="18"/>
              </w:rPr>
              <w:t>Glucose-6-phosphate dehydrogenase activity (G6PD)</w:t>
            </w:r>
          </w:p>
        </w:tc>
        <w:tc>
          <w:tcPr>
            <w:tcW w:w="2127" w:type="dxa"/>
            <w:tcBorders>
              <w:left w:val="nil"/>
              <w:right w:val="nil"/>
            </w:tcBorders>
          </w:tcPr>
          <w:p>
            <w:pPr>
              <w:pStyle w:val="TableParagraph"/>
              <w:ind w:left="122" w:right="145"/>
              <w:rPr>
                <w:sz w:val="18"/>
              </w:rPr>
            </w:pPr>
            <w:r>
              <w:rPr>
                <w:sz w:val="18"/>
              </w:rPr>
              <w:t>To determine G6PD activity (normal, intermediate, deficient) and specifically to inform decision to administer 8- aminoquinoline group drugs for radical cure of</w:t>
            </w:r>
          </w:p>
          <w:p>
            <w:pPr>
              <w:pStyle w:val="TableParagraph"/>
              <w:spacing w:line="219" w:lineRule="exact"/>
              <w:ind w:left="122"/>
              <w:rPr>
                <w:i/>
                <w:sz w:val="18"/>
              </w:rPr>
            </w:pPr>
            <w:r>
              <w:rPr>
                <w:i/>
                <w:sz w:val="18"/>
              </w:rPr>
              <w:t>P. vivax</w:t>
            </w:r>
          </w:p>
          <w:p>
            <w:pPr>
              <w:pStyle w:val="TableParagraph"/>
              <w:ind w:left="122" w:right="153"/>
              <w:rPr>
                <w:sz w:val="18"/>
              </w:rPr>
            </w:pPr>
            <w:r>
              <w:rPr>
                <w:sz w:val="18"/>
              </w:rPr>
              <w:t>For screening newborns for G6PD deficiency</w:t>
            </w:r>
          </w:p>
        </w:tc>
        <w:tc>
          <w:tcPr>
            <w:tcW w:w="1561" w:type="dxa"/>
            <w:tcBorders>
              <w:left w:val="nil"/>
              <w:right w:val="nil"/>
            </w:tcBorders>
          </w:tcPr>
          <w:p>
            <w:pPr>
              <w:pStyle w:val="TableParagraph"/>
              <w:ind w:left="122" w:right="130"/>
              <w:rPr>
                <w:sz w:val="18"/>
              </w:rPr>
            </w:pPr>
            <w:r>
              <w:rPr>
                <w:sz w:val="18"/>
              </w:rPr>
              <w:t>Semi quantitative fluorescent spot test</w:t>
            </w:r>
          </w:p>
        </w:tc>
        <w:tc>
          <w:tcPr>
            <w:tcW w:w="1842" w:type="dxa"/>
            <w:tcBorders>
              <w:left w:val="nil"/>
              <w:right w:val="nil"/>
            </w:tcBorders>
          </w:tcPr>
          <w:p>
            <w:pPr>
              <w:pStyle w:val="TableParagraph"/>
              <w:spacing w:line="219" w:lineRule="exact"/>
              <w:ind w:left="122"/>
              <w:rPr>
                <w:sz w:val="18"/>
              </w:rPr>
            </w:pPr>
            <w:r>
              <w:rPr>
                <w:sz w:val="18"/>
              </w:rPr>
              <w:t>Venous whole blood</w:t>
            </w:r>
          </w:p>
        </w:tc>
        <w:tc>
          <w:tcPr>
            <w:tcW w:w="2553" w:type="dxa"/>
            <w:tcBorders>
              <w:left w:val="nil"/>
              <w:right w:val="nil"/>
            </w:tcBorders>
          </w:tcPr>
          <w:p>
            <w:pPr>
              <w:pStyle w:val="TableParagraph"/>
              <w:ind w:left="123" w:right="127"/>
              <w:rPr>
                <w:sz w:val="18"/>
              </w:rPr>
            </w:pPr>
            <w:hyperlink r:id="rId98">
              <w:r>
                <w:rPr>
                  <w:color w:val="0462C1"/>
                  <w:sz w:val="18"/>
                  <w:u w:val="single" w:color="0462C1"/>
                </w:rPr>
                <w:t>http://www.who.int/diagnostic</w:t>
              </w:r>
            </w:hyperlink>
            <w:r>
              <w:rPr>
                <w:color w:val="0462C1"/>
                <w:sz w:val="18"/>
              </w:rPr>
              <w:t> </w:t>
            </w:r>
            <w:hyperlink r:id="rId98">
              <w:r>
                <w:rPr>
                  <w:color w:val="0462C1"/>
                  <w:sz w:val="18"/>
                  <w:u w:val="single" w:color="0462C1"/>
                </w:rPr>
                <w:t>s_laboratory/evaluations/pq-</w:t>
              </w:r>
            </w:hyperlink>
            <w:r>
              <w:rPr>
                <w:color w:val="0462C1"/>
                <w:sz w:val="18"/>
              </w:rPr>
              <w:t> </w:t>
            </w:r>
            <w:hyperlink r:id="rId98">
              <w:r>
                <w:rPr>
                  <w:color w:val="0462C1"/>
                  <w:sz w:val="18"/>
                  <w:u w:val="single" w:color="0462C1"/>
                </w:rPr>
                <w:t>list/malaria/public_report/en/</w:t>
              </w:r>
            </w:hyperlink>
          </w:p>
        </w:tc>
        <w:tc>
          <w:tcPr>
            <w:tcW w:w="3401" w:type="dxa"/>
            <w:tcBorders>
              <w:left w:val="nil"/>
              <w:right w:val="single" w:sz="12" w:space="0" w:color="000000"/>
            </w:tcBorders>
          </w:tcPr>
          <w:p>
            <w:pPr>
              <w:pStyle w:val="TableParagraph"/>
              <w:ind w:left="122" w:right="230"/>
              <w:rPr>
                <w:sz w:val="18"/>
              </w:rPr>
            </w:pPr>
            <w:r>
              <w:rPr>
                <w:sz w:val="18"/>
              </w:rPr>
              <w:t>Beutler E, Blume KG, Kaplan JC, Lohr GW, Ramot B, Valentine WN. International Committee for Standardization in Haematology: Recommended screening test for glucose-6-phosphate dehydrogenase deficiency. Br J Haematol 1979;43:469–477</w:t>
            </w:r>
          </w:p>
          <w:p>
            <w:pPr>
              <w:pStyle w:val="TableParagraph"/>
              <w:ind w:left="122" w:right="136"/>
              <w:rPr>
                <w:sz w:val="18"/>
              </w:rPr>
            </w:pPr>
            <w:r>
              <w:rPr>
                <w:sz w:val="18"/>
              </w:rPr>
              <w:t>WHO guidelines for the treatment of malaria, third edition (2015)</w:t>
            </w:r>
            <w:hyperlink r:id="rId299">
              <w:r>
                <w:rPr>
                  <w:sz w:val="18"/>
                </w:rPr>
                <w:t> http://apps.who.int/iris/bitstream/10665/</w:t>
              </w:r>
            </w:hyperlink>
            <w:r>
              <w:rPr>
                <w:sz w:val="18"/>
              </w:rPr>
              <w:t> 162441/1/9789241549127_eng.pdf</w:t>
            </w:r>
          </w:p>
        </w:tc>
      </w:tr>
    </w:tbl>
    <w:p>
      <w:pPr>
        <w:spacing w:after="0"/>
        <w:rPr>
          <w:sz w:val="18"/>
        </w:rPr>
        <w:sectPr>
          <w:headerReference w:type="default" r:id="rId294"/>
          <w:footerReference w:type="default" r:id="rId295"/>
          <w:pgSz w:w="16840" w:h="11910" w:orient="landscape"/>
          <w:pgMar w:header="0" w:footer="495" w:top="1100" w:bottom="680" w:left="1180" w:right="920"/>
          <w:pgNumType w:start="24"/>
        </w:sectPr>
      </w:pPr>
    </w:p>
    <w:p>
      <w:pPr>
        <w:pStyle w:val="BodyText"/>
        <w:rPr>
          <w:rFonts w:ascii="Times New Roman"/>
          <w:sz w:val="29"/>
        </w:rPr>
      </w:pPr>
      <w:r>
        <w:rPr/>
        <w:pict>
          <v:group style="position:absolute;margin-left:125.18pt;margin-top:98.420006pt;width:.5pt;height:402.65pt;mso-position-horizontal-relative:page;mso-position-vertical-relative:page;z-index:-122032" coordorigin="2504,1968" coordsize="10,8053">
            <v:shape style="position:absolute;left:2503;top:1968;width:10;height:586" type="#_x0000_t75" stroked="false">
              <v:imagedata r:id="rId302" o:title=""/>
            </v:shape>
            <v:shape style="position:absolute;left:2503;top:2554;width:10;height:10" type="#_x0000_t75" stroked="false">
              <v:imagedata r:id="rId277" o:title=""/>
            </v:shape>
            <v:shape style="position:absolute;left:2503;top:2563;width:10;height:2000" type="#_x0000_t75" stroked="false">
              <v:imagedata r:id="rId303" o:title=""/>
            </v:shape>
            <v:shape style="position:absolute;left:2503;top:4563;width:10;height:3085" type="#_x0000_t75" stroked="false">
              <v:imagedata r:id="rId304" o:title=""/>
            </v:shape>
            <v:shape style="position:absolute;left:2503;top:7648;width:10;height:1109" type="#_x0000_t75" stroked="false">
              <v:imagedata r:id="rId305" o:title=""/>
            </v:shape>
            <v:shape style="position:absolute;left:2503;top:8757;width:10;height:1264" type="#_x0000_t75" stroked="false">
              <v:imagedata r:id="rId306" o:title=""/>
            </v:shape>
            <w10:wrap type="none"/>
          </v:group>
        </w:pict>
      </w:r>
      <w:r>
        <w:rPr/>
        <w:pict>
          <v:group style="position:absolute;margin-left:195.979996pt;margin-top:98.420006pt;width:.5pt;height:282.95pt;mso-position-horizontal-relative:page;mso-position-vertical-relative:page;z-index:-122008" coordorigin="3920,1968" coordsize="10,5659">
            <v:shape style="position:absolute;left:3919;top:1968;width:10;height:586" type="#_x0000_t75" stroked="false">
              <v:imagedata r:id="rId302" o:title=""/>
            </v:shape>
            <v:shape style="position:absolute;left:3919;top:2554;width:10;height:10" type="#_x0000_t75" stroked="false">
              <v:imagedata r:id="rId277" o:title=""/>
            </v:shape>
            <v:shape style="position:absolute;left:3919;top:2563;width:10;height:891" type="#_x0000_t75" stroked="false">
              <v:imagedata r:id="rId307" o:title=""/>
            </v:shape>
            <v:shape style="position:absolute;left:3919;top:3454;width:10;height:1100" type="#_x0000_t75" stroked="false">
              <v:imagedata r:id="rId269" o:title=""/>
            </v:shape>
            <v:shape style="position:absolute;left:3919;top:4553;width:10;height:10" type="#_x0000_t75" stroked="false">
              <v:imagedata r:id="rId308" o:title=""/>
            </v:shape>
            <v:shape style="position:absolute;left:3919;top:4563;width:10;height:3064" type="#_x0000_t75" stroked="false">
              <v:imagedata r:id="rId309" o:title=""/>
            </v:shape>
            <w10:wrap type="none"/>
          </v:group>
        </w:pict>
      </w:r>
      <w:r>
        <w:rPr/>
        <w:pict>
          <v:group style="position:absolute;margin-left:351.769989pt;margin-top:98.420006pt;width:.5pt;height:129.3pt;mso-position-horizontal-relative:page;mso-position-vertical-relative:page;z-index:-121984" coordorigin="7035,1968" coordsize="10,2586">
            <v:shape style="position:absolute;left:7035;top:1968;width:10;height:586" type="#_x0000_t75" stroked="false">
              <v:imagedata r:id="rId302" o:title=""/>
            </v:shape>
            <v:shape style="position:absolute;left:7035;top:2554;width:10;height:891" type="#_x0000_t75" stroked="false">
              <v:imagedata r:id="rId310" o:title=""/>
            </v:shape>
            <v:shape style="position:absolute;left:7035;top:3445;width:10;height:1109" type="#_x0000_t75" stroked="false">
              <v:imagedata r:id="rId272" o:title=""/>
            </v:shape>
            <w10:wrap type="none"/>
          </v:group>
        </w:pict>
      </w:r>
      <w:r>
        <w:rPr/>
        <w:pict>
          <v:group style="position:absolute;margin-left:420.070007pt;margin-top:98.420006pt;width:.5pt;height:282.95pt;mso-position-horizontal-relative:page;mso-position-vertical-relative:page;z-index:-121960" coordorigin="8401,1968" coordsize="10,5659">
            <v:shape style="position:absolute;left:8401;top:1968;width:10;height:586" type="#_x0000_t75" stroked="false">
              <v:imagedata r:id="rId302" o:title=""/>
            </v:shape>
            <v:shape style="position:absolute;left:8401;top:2554;width:10;height:10" type="#_x0000_t75" stroked="false">
              <v:imagedata r:id="rId311" o:title=""/>
            </v:shape>
            <v:shape style="position:absolute;left:8401;top:2563;width:10;height:882" type="#_x0000_t75" stroked="false">
              <v:imagedata r:id="rId312" o:title=""/>
            </v:shape>
            <v:shape style="position:absolute;left:8401;top:3445;width:10;height:1109" type="#_x0000_t75" stroked="false">
              <v:imagedata r:id="rId272" o:title=""/>
            </v:shape>
            <v:shape style="position:absolute;left:8401;top:4553;width:10;height:10" type="#_x0000_t75" stroked="false">
              <v:imagedata r:id="rId313" o:title=""/>
            </v:shape>
            <v:shape style="position:absolute;left:8401;top:4563;width:10;height:3064" type="#_x0000_t75" stroked="false">
              <v:imagedata r:id="rId309" o:title=""/>
            </v:shape>
            <w10:wrap type="none"/>
          </v:group>
        </w:pict>
      </w:r>
      <w:r>
        <w:rPr/>
        <w:pict>
          <v:line style="position:absolute;mso-position-horizontal-relative:page;mso-position-vertical-relative:page;z-index:-121936" from="425.709991pt,380.799988pt" to="520.749991pt,380.799988pt" stroked="true" strokeweight=".600010pt" strokecolor="#0462c1">
            <v:stroke dashstyle="solid"/>
            <w10:wrap type="none"/>
          </v:line>
        </w:pict>
      </w:r>
      <w:r>
        <w:rPr/>
        <w:pict>
          <v:line style="position:absolute;mso-position-horizontal-relative:page;mso-position-vertical-relative:page;z-index:-121912" from="425.709991pt,436.23999pt" to="541.269991pt,436.23999pt" stroked="true" strokeweight=".600010pt" strokecolor="#0462c1">
            <v:stroke dashstyle="solid"/>
            <w10:wrap type="none"/>
          </v:line>
        </w:pict>
      </w:r>
      <w:r>
        <w:rPr/>
        <w:pict>
          <v:group style="position:absolute;margin-left:195.979996pt;margin-top:381.940033pt;width:.5pt;height:55.45pt;mso-position-horizontal-relative:page;mso-position-vertical-relative:page;z-index:-121888" coordorigin="3920,7639" coordsize="10,1109">
            <v:shape style="position:absolute;left:3919;top:7638;width:10;height:10" type="#_x0000_t75" stroked="false">
              <v:imagedata r:id="rId314" o:title=""/>
            </v:shape>
            <v:shape style="position:absolute;left:3919;top:7648;width:10;height:1100" type="#_x0000_t75" stroked="false">
              <v:imagedata r:id="rId315" o:title=""/>
            </v:shape>
            <w10:wrap type="none"/>
          </v:group>
        </w:pict>
      </w:r>
      <w:r>
        <w:rPr/>
        <w:pict>
          <v:group style="position:absolute;margin-left:420.070007pt;margin-top:381.940033pt;width:.5pt;height:55.45pt;mso-position-horizontal-relative:page;mso-position-vertical-relative:page;z-index:-121864" coordorigin="8401,7639" coordsize="10,1109">
            <v:shape style="position:absolute;left:8401;top:7638;width:10;height:10" type="#_x0000_t75" stroked="false">
              <v:imagedata r:id="rId314" o:title=""/>
            </v:shape>
            <v:shape style="position:absolute;left:8401;top:7648;width:10;height:1100" type="#_x0000_t75" stroked="false">
              <v:imagedata r:id="rId315" o:title=""/>
            </v:shape>
            <w10:wrap type="none"/>
          </v:group>
        </w:pict>
      </w:r>
      <w:r>
        <w:rPr/>
        <w:pict>
          <v:group style="position:absolute;margin-left:195.979996pt;margin-top:437.380035pt;width:.5pt;height:63.7pt;mso-position-horizontal-relative:page;mso-position-vertical-relative:page;z-index:-121840" coordorigin="3920,8748" coordsize="10,1274">
            <v:shape style="position:absolute;left:3919;top:8747;width:10;height:10" type="#_x0000_t75" stroked="false">
              <v:imagedata r:id="rId314" o:title=""/>
            </v:shape>
            <v:shape style="position:absolute;left:3919;top:8757;width:10;height:1264" type="#_x0000_t75" stroked="false">
              <v:imagedata r:id="rId306" o:title=""/>
            </v:shape>
            <w10:wrap type="none"/>
          </v:group>
        </w:pict>
      </w:r>
      <w:r>
        <w:rPr/>
        <w:pict>
          <v:group style="position:absolute;margin-left:420.070007pt;margin-top:437.380035pt;width:.5pt;height:63.7pt;mso-position-horizontal-relative:page;mso-position-vertical-relative:page;z-index:-121816" coordorigin="8401,8748" coordsize="10,1274">
            <v:shape style="position:absolute;left:8401;top:8747;width:10;height:10" type="#_x0000_t75" stroked="false">
              <v:imagedata r:id="rId314" o:title=""/>
            </v:shape>
            <v:shape style="position:absolute;left:8401;top:8757;width:10;height:1264" type="#_x0000_t75" stroked="false">
              <v:imagedata r:id="rId306" o:title=""/>
            </v:shape>
            <w10:wrap type="none"/>
          </v:group>
        </w:pict>
      </w:r>
      <w:r>
        <w:rPr/>
        <w:drawing>
          <wp:anchor distT="0" distB="0" distL="0" distR="0" allowOverlap="1" layoutInCell="1" locked="0" behindDoc="1" simplePos="0" relativeHeight="268313663">
            <wp:simplePos x="0" y="0"/>
            <wp:positionH relativeFrom="page">
              <wp:posOffset>3569842</wp:posOffset>
            </wp:positionH>
            <wp:positionV relativeFrom="page">
              <wp:posOffset>1249934</wp:posOffset>
            </wp:positionV>
            <wp:extent cx="6096" cy="5123688"/>
            <wp:effectExtent l="0" t="0" r="0" b="0"/>
            <wp:wrapNone/>
            <wp:docPr id="53" name="image235.png" descr=""/>
            <wp:cNvGraphicFramePr>
              <a:graphicFrameLocks noChangeAspect="1"/>
            </wp:cNvGraphicFramePr>
            <a:graphic>
              <a:graphicData uri="http://schemas.openxmlformats.org/drawingml/2006/picture">
                <pic:pic>
                  <pic:nvPicPr>
                    <pic:cNvPr id="54" name="image235.png"/>
                    <pic:cNvPicPr/>
                  </pic:nvPicPr>
                  <pic:blipFill>
                    <a:blip r:embed="rId316" cstate="print"/>
                    <a:stretch>
                      <a:fillRect/>
                    </a:stretch>
                  </pic:blipFill>
                  <pic:spPr>
                    <a:xfrm>
                      <a:off x="0" y="0"/>
                      <a:ext cx="6096" cy="5123688"/>
                    </a:xfrm>
                    <a:prstGeom prst="rect">
                      <a:avLst/>
                    </a:prstGeom>
                  </pic:spPr>
                </pic:pic>
              </a:graphicData>
            </a:graphic>
          </wp:anchor>
        </w:drawing>
      </w:r>
      <w:r>
        <w:rPr/>
        <w:drawing>
          <wp:anchor distT="0" distB="0" distL="0" distR="0" allowOverlap="1" layoutInCell="1" locked="0" behindDoc="1" simplePos="0" relativeHeight="268313687">
            <wp:simplePos x="0" y="0"/>
            <wp:positionH relativeFrom="page">
              <wp:posOffset>7910830</wp:posOffset>
            </wp:positionH>
            <wp:positionV relativeFrom="page">
              <wp:posOffset>1249934</wp:posOffset>
            </wp:positionV>
            <wp:extent cx="6096" cy="5123688"/>
            <wp:effectExtent l="0" t="0" r="0" b="0"/>
            <wp:wrapNone/>
            <wp:docPr id="55" name="image236.png" descr=""/>
            <wp:cNvGraphicFramePr>
              <a:graphicFrameLocks noChangeAspect="1"/>
            </wp:cNvGraphicFramePr>
            <a:graphic>
              <a:graphicData uri="http://schemas.openxmlformats.org/drawingml/2006/picture">
                <pic:pic>
                  <pic:nvPicPr>
                    <pic:cNvPr id="56" name="image236.png"/>
                    <pic:cNvPicPr/>
                  </pic:nvPicPr>
                  <pic:blipFill>
                    <a:blip r:embed="rId317" cstate="print"/>
                    <a:stretch>
                      <a:fillRect/>
                    </a:stretch>
                  </pic:blipFill>
                  <pic:spPr>
                    <a:xfrm>
                      <a:off x="0" y="0"/>
                      <a:ext cx="6096" cy="5123688"/>
                    </a:xfrm>
                    <a:prstGeom prst="rect">
                      <a:avLst/>
                    </a:prstGeom>
                  </pic:spPr>
                </pic:pic>
              </a:graphicData>
            </a:graphic>
          </wp:anchor>
        </w:drawing>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2"/>
        <w:gridCol w:w="1412"/>
        <w:gridCol w:w="1701"/>
        <w:gridCol w:w="1414"/>
        <w:gridCol w:w="1368"/>
        <w:gridCol w:w="4052"/>
        <w:gridCol w:w="3319"/>
      </w:tblGrid>
      <w:tr>
        <w:trPr>
          <w:trHeight w:val="488" w:hRule="atLeast"/>
        </w:trPr>
        <w:tc>
          <w:tcPr>
            <w:tcW w:w="14438" w:type="dxa"/>
            <w:gridSpan w:val="7"/>
            <w:tcBorders>
              <w:top w:val="single" w:sz="12" w:space="0" w:color="000000"/>
              <w:left w:val="single" w:sz="12" w:space="0" w:color="000000"/>
              <w:bottom w:val="single" w:sz="4" w:space="0" w:color="000000"/>
              <w:right w:val="single" w:sz="12" w:space="0" w:color="000000"/>
            </w:tcBorders>
            <w:shd w:val="clear" w:color="auto" w:fill="E7E6E6"/>
          </w:tcPr>
          <w:p>
            <w:pPr>
              <w:pStyle w:val="TableParagraph"/>
              <w:spacing w:before="1"/>
              <w:ind w:left="107"/>
              <w:rPr>
                <w:b/>
                <w:sz w:val="24"/>
              </w:rPr>
            </w:pPr>
            <w:r>
              <w:rPr>
                <w:b/>
                <w:sz w:val="22"/>
              </w:rPr>
              <w:t>II.b </w:t>
            </w:r>
            <w:r>
              <w:rPr>
                <w:b/>
                <w:sz w:val="24"/>
              </w:rPr>
              <w:t>Disease-specific IVDs for health care facilities with clinical laboratories</w:t>
            </w:r>
          </w:p>
        </w:tc>
      </w:tr>
      <w:tr>
        <w:trPr>
          <w:trHeight w:val="585" w:hRule="atLeast"/>
        </w:trPr>
        <w:tc>
          <w:tcPr>
            <w:tcW w:w="1172" w:type="dxa"/>
            <w:tcBorders>
              <w:top w:val="single" w:sz="4" w:space="0" w:color="000000"/>
              <w:left w:val="single" w:sz="12" w:space="0" w:color="000000"/>
              <w:bottom w:val="single" w:sz="4" w:space="0" w:color="000000"/>
            </w:tcBorders>
            <w:shd w:val="clear" w:color="auto" w:fill="E7E6E6"/>
          </w:tcPr>
          <w:p>
            <w:pPr>
              <w:pStyle w:val="TableParagraph"/>
              <w:rPr>
                <w:rFonts w:ascii="Times New Roman"/>
                <w:sz w:val="18"/>
              </w:rPr>
            </w:pPr>
          </w:p>
        </w:tc>
        <w:tc>
          <w:tcPr>
            <w:tcW w:w="1412" w:type="dxa"/>
            <w:tcBorders>
              <w:top w:val="single" w:sz="4" w:space="0" w:color="000000"/>
              <w:bottom w:val="single" w:sz="4" w:space="0" w:color="000000"/>
            </w:tcBorders>
            <w:shd w:val="clear" w:color="auto" w:fill="E7E6E6"/>
          </w:tcPr>
          <w:p>
            <w:pPr>
              <w:pStyle w:val="TableParagraph"/>
              <w:spacing w:line="194" w:lineRule="exact"/>
              <w:ind w:left="117"/>
              <w:rPr>
                <w:b/>
                <w:sz w:val="16"/>
              </w:rPr>
            </w:pPr>
            <w:r>
              <w:rPr>
                <w:b/>
                <w:sz w:val="16"/>
              </w:rPr>
              <w:t>Diagnostic test</w:t>
            </w:r>
          </w:p>
        </w:tc>
        <w:tc>
          <w:tcPr>
            <w:tcW w:w="1701" w:type="dxa"/>
            <w:tcBorders>
              <w:top w:val="single" w:sz="4" w:space="0" w:color="000000"/>
              <w:bottom w:val="single" w:sz="4" w:space="0" w:color="000000"/>
            </w:tcBorders>
            <w:shd w:val="clear" w:color="auto" w:fill="E7E6E6"/>
          </w:tcPr>
          <w:p>
            <w:pPr>
              <w:pStyle w:val="TableParagraph"/>
              <w:spacing w:line="194" w:lineRule="exact"/>
              <w:ind w:left="121"/>
              <w:rPr>
                <w:b/>
                <w:sz w:val="16"/>
              </w:rPr>
            </w:pPr>
            <w:r>
              <w:rPr>
                <w:b/>
                <w:sz w:val="16"/>
              </w:rPr>
              <w:t>Test purpose</w:t>
            </w:r>
          </w:p>
        </w:tc>
        <w:tc>
          <w:tcPr>
            <w:tcW w:w="1414" w:type="dxa"/>
            <w:tcBorders>
              <w:top w:val="single" w:sz="4" w:space="0" w:color="000000"/>
              <w:bottom w:val="single" w:sz="4" w:space="0" w:color="000000"/>
            </w:tcBorders>
            <w:shd w:val="clear" w:color="auto" w:fill="E7E6E6"/>
          </w:tcPr>
          <w:p>
            <w:pPr>
              <w:pStyle w:val="TableParagraph"/>
              <w:spacing w:line="194" w:lineRule="exact"/>
              <w:ind w:left="122"/>
              <w:rPr>
                <w:b/>
                <w:sz w:val="16"/>
              </w:rPr>
            </w:pPr>
            <w:r>
              <w:rPr>
                <w:b/>
                <w:sz w:val="16"/>
              </w:rPr>
              <w:t>Assay format</w:t>
            </w:r>
          </w:p>
        </w:tc>
        <w:tc>
          <w:tcPr>
            <w:tcW w:w="1368" w:type="dxa"/>
            <w:tcBorders>
              <w:top w:val="single" w:sz="4" w:space="0" w:color="000000"/>
              <w:bottom w:val="single" w:sz="4" w:space="0" w:color="000000"/>
            </w:tcBorders>
            <w:shd w:val="clear" w:color="auto" w:fill="E7E6E6"/>
          </w:tcPr>
          <w:p>
            <w:pPr>
              <w:pStyle w:val="TableParagraph"/>
              <w:spacing w:line="194" w:lineRule="exact"/>
              <w:ind w:left="122"/>
              <w:rPr>
                <w:b/>
                <w:sz w:val="16"/>
              </w:rPr>
            </w:pPr>
            <w:r>
              <w:rPr>
                <w:b/>
                <w:sz w:val="16"/>
              </w:rPr>
              <w:t>Specimen type</w:t>
            </w:r>
          </w:p>
        </w:tc>
        <w:tc>
          <w:tcPr>
            <w:tcW w:w="4052" w:type="dxa"/>
            <w:tcBorders>
              <w:top w:val="single" w:sz="4" w:space="0" w:color="000000"/>
              <w:bottom w:val="single" w:sz="4" w:space="0" w:color="000000"/>
            </w:tcBorders>
            <w:shd w:val="clear" w:color="auto" w:fill="E7E6E6"/>
          </w:tcPr>
          <w:p>
            <w:pPr>
              <w:pStyle w:val="TableParagraph"/>
              <w:spacing w:line="194" w:lineRule="exact"/>
              <w:ind w:left="119"/>
              <w:rPr>
                <w:b/>
                <w:sz w:val="16"/>
              </w:rPr>
            </w:pPr>
            <w:r>
              <w:rPr>
                <w:b/>
                <w:sz w:val="16"/>
              </w:rPr>
              <w:t>WHO prequalified or endorsed products</w:t>
            </w:r>
          </w:p>
          <w:p>
            <w:pPr>
              <w:pStyle w:val="TableParagraph"/>
              <w:spacing w:line="195" w:lineRule="exact"/>
              <w:ind w:left="119"/>
              <w:rPr>
                <w:sz w:val="16"/>
              </w:rPr>
            </w:pPr>
            <w:r>
              <w:rPr>
                <w:sz w:val="16"/>
              </w:rPr>
              <w:t>(all TB tests are evaluated and guidelines developed</w:t>
            </w:r>
          </w:p>
          <w:p>
            <w:pPr>
              <w:pStyle w:val="TableParagraph"/>
              <w:spacing w:line="175" w:lineRule="exact" w:before="1"/>
              <w:ind w:left="119"/>
              <w:rPr>
                <w:sz w:val="16"/>
              </w:rPr>
            </w:pPr>
            <w:r>
              <w:rPr>
                <w:sz w:val="16"/>
              </w:rPr>
              <w:t>through the WHO Global TB Programme)</w:t>
            </w:r>
          </w:p>
        </w:tc>
        <w:tc>
          <w:tcPr>
            <w:tcW w:w="3319" w:type="dxa"/>
            <w:tcBorders>
              <w:top w:val="single" w:sz="4" w:space="0" w:color="000000"/>
              <w:bottom w:val="single" w:sz="4" w:space="0" w:color="000000"/>
              <w:right w:val="single" w:sz="12" w:space="0" w:color="000000"/>
            </w:tcBorders>
            <w:shd w:val="clear" w:color="auto" w:fill="E7E6E6"/>
          </w:tcPr>
          <w:p>
            <w:pPr>
              <w:pStyle w:val="TableParagraph"/>
              <w:spacing w:line="194" w:lineRule="exact"/>
              <w:ind w:left="124"/>
              <w:rPr>
                <w:b/>
                <w:sz w:val="16"/>
              </w:rPr>
            </w:pPr>
            <w:r>
              <w:rPr>
                <w:b/>
                <w:sz w:val="16"/>
              </w:rPr>
              <w:t>WHO supporting documents</w:t>
            </w:r>
          </w:p>
        </w:tc>
      </w:tr>
      <w:tr>
        <w:trPr>
          <w:trHeight w:val="901" w:hRule="atLeast"/>
        </w:trPr>
        <w:tc>
          <w:tcPr>
            <w:tcW w:w="1172" w:type="dxa"/>
            <w:tcBorders>
              <w:top w:val="single" w:sz="4" w:space="0" w:color="000000"/>
              <w:left w:val="single" w:sz="12" w:space="0" w:color="000000"/>
            </w:tcBorders>
          </w:tcPr>
          <w:p>
            <w:pPr>
              <w:pStyle w:val="TableParagraph"/>
              <w:spacing w:line="219" w:lineRule="exact"/>
              <w:ind w:left="107"/>
              <w:rPr>
                <w:sz w:val="18"/>
              </w:rPr>
            </w:pPr>
            <w:r>
              <w:rPr>
                <w:sz w:val="18"/>
              </w:rPr>
              <w:t>Tuberculosis</w:t>
            </w:r>
          </w:p>
        </w:tc>
        <w:tc>
          <w:tcPr>
            <w:tcW w:w="1412" w:type="dxa"/>
            <w:tcBorders>
              <w:top w:val="single" w:sz="4" w:space="0" w:color="000000"/>
            </w:tcBorders>
          </w:tcPr>
          <w:p>
            <w:pPr>
              <w:pStyle w:val="TableParagraph"/>
              <w:ind w:left="117" w:right="129"/>
              <w:rPr>
                <w:sz w:val="18"/>
              </w:rPr>
            </w:pPr>
            <w:r>
              <w:rPr>
                <w:i/>
                <w:sz w:val="18"/>
              </w:rPr>
              <w:t>Mycobacterium </w:t>
            </w:r>
            <w:r>
              <w:rPr>
                <w:i/>
                <w:sz w:val="18"/>
              </w:rPr>
              <w:t>tuberculosis </w:t>
            </w:r>
            <w:r>
              <w:rPr>
                <w:sz w:val="18"/>
              </w:rPr>
              <w:t>bacteria</w:t>
            </w:r>
          </w:p>
        </w:tc>
        <w:tc>
          <w:tcPr>
            <w:tcW w:w="1701" w:type="dxa"/>
            <w:tcBorders>
              <w:top w:val="single" w:sz="4" w:space="0" w:color="000000"/>
            </w:tcBorders>
          </w:tcPr>
          <w:p>
            <w:pPr>
              <w:pStyle w:val="TableParagraph"/>
              <w:ind w:left="121" w:right="80"/>
              <w:rPr>
                <w:sz w:val="18"/>
              </w:rPr>
            </w:pPr>
            <w:r>
              <w:rPr>
                <w:sz w:val="18"/>
              </w:rPr>
              <w:t>For the diagnosis and treatment monitoring of active</w:t>
            </w:r>
          </w:p>
          <w:p>
            <w:pPr>
              <w:pStyle w:val="TableParagraph"/>
              <w:tabs>
                <w:tab w:pos="4490" w:val="left" w:leader="none"/>
              </w:tabs>
              <w:ind w:left="18" w:right="-2794"/>
              <w:rPr>
                <w:sz w:val="18"/>
              </w:rPr>
            </w:pPr>
            <w:r>
              <w:rPr>
                <w:sz w:val="18"/>
                <w:u w:val="single"/>
              </w:rPr>
              <w:t>  </w:t>
            </w:r>
            <w:r>
              <w:rPr>
                <w:spacing w:val="-19"/>
                <w:sz w:val="18"/>
                <w:u w:val="single"/>
              </w:rPr>
              <w:t> </w:t>
            </w:r>
            <w:r>
              <w:rPr>
                <w:sz w:val="18"/>
                <w:u w:val="single"/>
              </w:rPr>
              <w:t>TB</w:t>
              <w:tab/>
            </w:r>
          </w:p>
        </w:tc>
        <w:tc>
          <w:tcPr>
            <w:tcW w:w="1414" w:type="dxa"/>
            <w:tcBorders>
              <w:top w:val="single" w:sz="4" w:space="0" w:color="000000"/>
            </w:tcBorders>
          </w:tcPr>
          <w:p>
            <w:pPr>
              <w:pStyle w:val="TableParagraph"/>
              <w:spacing w:line="219" w:lineRule="exact"/>
              <w:ind w:left="122"/>
              <w:rPr>
                <w:sz w:val="18"/>
              </w:rPr>
            </w:pPr>
            <w:r>
              <w:rPr>
                <w:sz w:val="18"/>
              </w:rPr>
              <w:t>Microscopy</w:t>
            </w:r>
          </w:p>
        </w:tc>
        <w:tc>
          <w:tcPr>
            <w:tcW w:w="1368" w:type="dxa"/>
            <w:tcBorders>
              <w:top w:val="single" w:sz="4" w:space="0" w:color="000000"/>
            </w:tcBorders>
          </w:tcPr>
          <w:p>
            <w:pPr>
              <w:pStyle w:val="TableParagraph"/>
              <w:ind w:left="122" w:right="108"/>
              <w:rPr>
                <w:sz w:val="18"/>
              </w:rPr>
            </w:pPr>
            <w:r>
              <w:rPr>
                <w:sz w:val="18"/>
              </w:rPr>
              <w:t>Other specimen</w:t>
            </w:r>
            <w:r>
              <w:rPr>
                <w:spacing w:val="-2"/>
                <w:sz w:val="18"/>
              </w:rPr>
              <w:t> </w:t>
            </w:r>
            <w:r>
              <w:rPr>
                <w:spacing w:val="-4"/>
                <w:sz w:val="18"/>
              </w:rPr>
              <w:t>types</w:t>
            </w:r>
          </w:p>
        </w:tc>
        <w:tc>
          <w:tcPr>
            <w:tcW w:w="4052" w:type="dxa"/>
            <w:tcBorders>
              <w:top w:val="single" w:sz="4" w:space="0" w:color="000000"/>
            </w:tcBorders>
          </w:tcPr>
          <w:p>
            <w:pPr>
              <w:pStyle w:val="TableParagraph"/>
              <w:ind w:left="119" w:right="97"/>
              <w:rPr>
                <w:sz w:val="18"/>
              </w:rPr>
            </w:pPr>
            <w:r>
              <w:rPr>
                <w:sz w:val="18"/>
              </w:rPr>
              <w:t>Implementing tuberculosis diagnostics: Policy framework (2015) </w:t>
            </w:r>
            <w:hyperlink r:id="rId117">
              <w:r>
                <w:rPr>
                  <w:color w:val="0462C1"/>
                  <w:sz w:val="18"/>
                  <w:u w:val="single" w:color="0462C1"/>
                </w:rPr>
                <w:t>http://apps.who.int/iris/bitstream/10665/162712/1</w:t>
              </w:r>
            </w:hyperlink>
          </w:p>
          <w:p>
            <w:pPr>
              <w:pStyle w:val="TableParagraph"/>
              <w:ind w:left="119"/>
              <w:rPr>
                <w:sz w:val="18"/>
              </w:rPr>
            </w:pPr>
            <w:hyperlink r:id="rId117">
              <w:r>
                <w:rPr>
                  <w:color w:val="0462C1"/>
                  <w:sz w:val="18"/>
                  <w:u w:val="single" w:color="0462C1"/>
                </w:rPr>
                <w:t>/9789241508612_eng.pdf</w:t>
              </w:r>
            </w:hyperlink>
          </w:p>
        </w:tc>
        <w:tc>
          <w:tcPr>
            <w:tcW w:w="3319" w:type="dxa"/>
            <w:vMerge w:val="restart"/>
            <w:tcBorders>
              <w:top w:val="single" w:sz="4" w:space="0" w:color="000000"/>
              <w:right w:val="single" w:sz="12" w:space="0" w:color="000000"/>
            </w:tcBorders>
          </w:tcPr>
          <w:p>
            <w:pPr>
              <w:pStyle w:val="TableParagraph"/>
              <w:ind w:left="124" w:right="98"/>
              <w:rPr>
                <w:sz w:val="18"/>
              </w:rPr>
            </w:pPr>
            <w:r>
              <w:rPr>
                <w:sz w:val="18"/>
              </w:rPr>
              <w:t>Compendium of WHO guidelines and associated standards: Ensuring optimum delivery of the cascade of care for patients with tuberculosis (2017) </w:t>
            </w:r>
            <w:hyperlink r:id="rId118">
              <w:r>
                <w:rPr>
                  <w:color w:val="0462C1"/>
                  <w:spacing w:val="-1"/>
                  <w:sz w:val="18"/>
                  <w:u w:val="single" w:color="0462C1"/>
                </w:rPr>
                <w:t>http://apps.who.int/iris/bitstream/handle</w:t>
              </w:r>
            </w:hyperlink>
          </w:p>
          <w:p>
            <w:pPr>
              <w:pStyle w:val="TableParagraph"/>
              <w:ind w:left="124"/>
              <w:rPr>
                <w:sz w:val="18"/>
              </w:rPr>
            </w:pPr>
            <w:hyperlink r:id="rId118">
              <w:r>
                <w:rPr>
                  <w:color w:val="0462C1"/>
                  <w:sz w:val="18"/>
                  <w:u w:val="single" w:color="0462C1"/>
                </w:rPr>
                <w:t>/10665/259180/9789241512572-</w:t>
              </w:r>
            </w:hyperlink>
          </w:p>
          <w:p>
            <w:pPr>
              <w:pStyle w:val="TableParagraph"/>
              <w:spacing w:before="1"/>
              <w:ind w:left="124"/>
              <w:rPr>
                <w:sz w:val="18"/>
              </w:rPr>
            </w:pPr>
            <w:hyperlink r:id="rId118">
              <w:r>
                <w:rPr>
                  <w:color w:val="0462C1"/>
                  <w:sz w:val="18"/>
                  <w:u w:val="single" w:color="0462C1"/>
                </w:rPr>
                <w:t>eng.pdf?sequence=1</w:t>
              </w:r>
            </w:hyperlink>
          </w:p>
          <w:p>
            <w:pPr>
              <w:pStyle w:val="TableParagraph"/>
              <w:spacing w:before="1"/>
              <w:rPr>
                <w:rFonts w:ascii="Times New Roman"/>
                <w:sz w:val="19"/>
              </w:rPr>
            </w:pPr>
          </w:p>
          <w:p>
            <w:pPr>
              <w:pStyle w:val="TableParagraph"/>
              <w:ind w:left="124" w:right="122"/>
              <w:rPr>
                <w:sz w:val="18"/>
              </w:rPr>
            </w:pPr>
            <w:r>
              <w:rPr>
                <w:sz w:val="18"/>
              </w:rPr>
              <w:t>Implementing tuberculosis diagnostics: Policy framework (2015) </w:t>
            </w:r>
            <w:hyperlink r:id="rId117">
              <w:r>
                <w:rPr>
                  <w:color w:val="0462C1"/>
                  <w:sz w:val="18"/>
                  <w:u w:val="single" w:color="0462C1"/>
                </w:rPr>
                <w:t>http://apps.who.int/iris/bitstream/10665</w:t>
              </w:r>
            </w:hyperlink>
          </w:p>
          <w:p>
            <w:pPr>
              <w:pStyle w:val="TableParagraph"/>
              <w:spacing w:before="1"/>
              <w:ind w:left="124"/>
              <w:rPr>
                <w:sz w:val="18"/>
              </w:rPr>
            </w:pPr>
            <w:hyperlink r:id="rId117">
              <w:r>
                <w:rPr>
                  <w:color w:val="0462C1"/>
                  <w:sz w:val="18"/>
                  <w:u w:val="single" w:color="0462C1"/>
                </w:rPr>
                <w:t>/162712/1/9789241508612_eng.pdf</w:t>
              </w:r>
            </w:hyperlink>
          </w:p>
        </w:tc>
      </w:tr>
      <w:tr>
        <w:trPr>
          <w:trHeight w:val="1108" w:hRule="atLeast"/>
        </w:trPr>
        <w:tc>
          <w:tcPr>
            <w:tcW w:w="1172" w:type="dxa"/>
            <w:tcBorders>
              <w:left w:val="single" w:sz="12" w:space="0" w:color="000000"/>
            </w:tcBorders>
          </w:tcPr>
          <w:p>
            <w:pPr>
              <w:pStyle w:val="TableParagraph"/>
              <w:rPr>
                <w:rFonts w:ascii="Times New Roman"/>
                <w:sz w:val="18"/>
              </w:rPr>
            </w:pPr>
          </w:p>
        </w:tc>
        <w:tc>
          <w:tcPr>
            <w:tcW w:w="3113" w:type="dxa"/>
            <w:gridSpan w:val="2"/>
          </w:tcPr>
          <w:p>
            <w:pPr>
              <w:pStyle w:val="TableParagraph"/>
              <w:spacing w:line="237" w:lineRule="auto"/>
              <w:ind w:left="1533" w:right="315"/>
              <w:rPr>
                <w:sz w:val="18"/>
              </w:rPr>
            </w:pPr>
            <w:r>
              <w:rPr>
                <w:sz w:val="18"/>
              </w:rPr>
              <w:t>For the diagnosis and treatment</w:t>
            </w:r>
          </w:p>
          <w:p>
            <w:pPr>
              <w:pStyle w:val="TableParagraph"/>
              <w:ind w:left="1533" w:right="80"/>
              <w:rPr>
                <w:sz w:val="18"/>
              </w:rPr>
            </w:pPr>
            <w:r>
              <w:rPr>
                <w:sz w:val="18"/>
              </w:rPr>
              <w:t>monitoring of active TB including drug-</w:t>
            </w:r>
          </w:p>
          <w:p>
            <w:pPr>
              <w:pStyle w:val="TableParagraph"/>
              <w:tabs>
                <w:tab w:pos="1533" w:val="left" w:leader="none"/>
                <w:tab w:pos="9958" w:val="left" w:leader="none"/>
              </w:tabs>
              <w:spacing w:line="219" w:lineRule="exact"/>
              <w:ind w:left="13" w:right="-6855"/>
              <w:rPr>
                <w:sz w:val="18"/>
              </w:rPr>
            </w:pPr>
            <w:r>
              <w:rPr>
                <w:sz w:val="18"/>
                <w:u w:val="single"/>
              </w:rPr>
              <w:t> </w:t>
              <w:tab/>
              <w:t>resistant</w:t>
            </w:r>
            <w:r>
              <w:rPr>
                <w:spacing w:val="-4"/>
                <w:sz w:val="18"/>
                <w:u w:val="single"/>
              </w:rPr>
              <w:t> </w:t>
            </w:r>
            <w:r>
              <w:rPr>
                <w:sz w:val="18"/>
                <w:u w:val="single"/>
              </w:rPr>
              <w:t>TB</w:t>
              <w:tab/>
            </w:r>
          </w:p>
        </w:tc>
        <w:tc>
          <w:tcPr>
            <w:tcW w:w="1414" w:type="dxa"/>
          </w:tcPr>
          <w:p>
            <w:pPr>
              <w:pStyle w:val="TableParagraph"/>
              <w:spacing w:line="237" w:lineRule="auto"/>
              <w:ind w:left="122" w:right="630"/>
              <w:rPr>
                <w:sz w:val="18"/>
              </w:rPr>
            </w:pPr>
            <w:r>
              <w:rPr>
                <w:sz w:val="18"/>
              </w:rPr>
              <w:t>Bacterial culture</w:t>
            </w:r>
          </w:p>
        </w:tc>
        <w:tc>
          <w:tcPr>
            <w:tcW w:w="1368" w:type="dxa"/>
          </w:tcPr>
          <w:p>
            <w:pPr>
              <w:pStyle w:val="TableParagraph"/>
              <w:spacing w:line="237" w:lineRule="auto"/>
              <w:ind w:left="122" w:right="83"/>
              <w:rPr>
                <w:sz w:val="18"/>
              </w:rPr>
            </w:pPr>
            <w:r>
              <w:rPr>
                <w:sz w:val="18"/>
              </w:rPr>
              <w:t>Sputum or other specimen</w:t>
            </w:r>
          </w:p>
          <w:p>
            <w:pPr>
              <w:pStyle w:val="TableParagraph"/>
              <w:ind w:left="122"/>
              <w:rPr>
                <w:sz w:val="18"/>
              </w:rPr>
            </w:pPr>
            <w:r>
              <w:rPr>
                <w:sz w:val="18"/>
              </w:rPr>
              <w:t>types</w:t>
            </w:r>
          </w:p>
        </w:tc>
        <w:tc>
          <w:tcPr>
            <w:tcW w:w="4052" w:type="dxa"/>
          </w:tcPr>
          <w:p>
            <w:pPr>
              <w:pStyle w:val="TableParagraph"/>
              <w:rPr>
                <w:rFonts w:ascii="Times New Roman"/>
                <w:sz w:val="18"/>
              </w:rPr>
            </w:pPr>
          </w:p>
        </w:tc>
        <w:tc>
          <w:tcPr>
            <w:tcW w:w="3319" w:type="dxa"/>
            <w:vMerge/>
            <w:tcBorders>
              <w:top w:val="nil"/>
              <w:right w:val="single" w:sz="12" w:space="0" w:color="000000"/>
            </w:tcBorders>
          </w:tcPr>
          <w:p>
            <w:pPr>
              <w:rPr>
                <w:sz w:val="2"/>
                <w:szCs w:val="2"/>
              </w:rPr>
            </w:pPr>
          </w:p>
        </w:tc>
      </w:tr>
      <w:tr>
        <w:trPr>
          <w:trHeight w:val="3064" w:hRule="atLeast"/>
        </w:trPr>
        <w:tc>
          <w:tcPr>
            <w:tcW w:w="1172" w:type="dxa"/>
            <w:tcBorders>
              <w:left w:val="single" w:sz="12" w:space="0" w:color="000000"/>
            </w:tcBorders>
          </w:tcPr>
          <w:p>
            <w:pPr>
              <w:pStyle w:val="TableParagraph"/>
              <w:rPr>
                <w:rFonts w:ascii="Times New Roman"/>
                <w:sz w:val="18"/>
              </w:rPr>
            </w:pPr>
          </w:p>
        </w:tc>
        <w:tc>
          <w:tcPr>
            <w:tcW w:w="1412" w:type="dxa"/>
            <w:tcBorders>
              <w:bottom w:val="single" w:sz="4" w:space="0" w:color="000000"/>
            </w:tcBorders>
          </w:tcPr>
          <w:p>
            <w:pPr>
              <w:pStyle w:val="TableParagraph"/>
              <w:spacing w:line="208" w:lineRule="exact"/>
              <w:ind w:left="117"/>
              <w:rPr>
                <w:i/>
                <w:sz w:val="18"/>
              </w:rPr>
            </w:pPr>
            <w:r>
              <w:rPr>
                <w:i/>
                <w:sz w:val="18"/>
              </w:rPr>
              <w:t>M. tuberculosis</w:t>
            </w:r>
          </w:p>
          <w:p>
            <w:pPr>
              <w:pStyle w:val="TableParagraph"/>
              <w:spacing w:line="219" w:lineRule="exact"/>
              <w:ind w:left="117"/>
              <w:rPr>
                <w:sz w:val="18"/>
              </w:rPr>
            </w:pPr>
            <w:r>
              <w:rPr>
                <w:sz w:val="18"/>
              </w:rPr>
              <w:t>DNA</w:t>
            </w:r>
          </w:p>
        </w:tc>
        <w:tc>
          <w:tcPr>
            <w:tcW w:w="1701" w:type="dxa"/>
            <w:tcBorders>
              <w:bottom w:val="single" w:sz="4" w:space="0" w:color="000000"/>
            </w:tcBorders>
          </w:tcPr>
          <w:p>
            <w:pPr>
              <w:pStyle w:val="TableParagraph"/>
              <w:spacing w:line="237" w:lineRule="auto"/>
              <w:ind w:left="121" w:right="124"/>
              <w:rPr>
                <w:sz w:val="18"/>
              </w:rPr>
            </w:pPr>
            <w:r>
              <w:rPr>
                <w:sz w:val="18"/>
              </w:rPr>
              <w:t>For the diagnosis of active TB and</w:t>
            </w:r>
          </w:p>
          <w:p>
            <w:pPr>
              <w:pStyle w:val="TableParagraph"/>
              <w:ind w:left="121" w:right="578"/>
              <w:rPr>
                <w:sz w:val="18"/>
              </w:rPr>
            </w:pPr>
            <w:r>
              <w:rPr>
                <w:sz w:val="18"/>
              </w:rPr>
              <w:t>simultaneous detection of rifampicin resistance</w:t>
            </w:r>
          </w:p>
        </w:tc>
        <w:tc>
          <w:tcPr>
            <w:tcW w:w="1414" w:type="dxa"/>
            <w:tcBorders>
              <w:bottom w:val="single" w:sz="4" w:space="0" w:color="000000"/>
            </w:tcBorders>
          </w:tcPr>
          <w:p>
            <w:pPr>
              <w:pStyle w:val="TableParagraph"/>
              <w:spacing w:line="237" w:lineRule="auto"/>
              <w:ind w:left="122" w:right="103"/>
              <w:rPr>
                <w:sz w:val="18"/>
              </w:rPr>
            </w:pPr>
            <w:r>
              <w:rPr>
                <w:sz w:val="18"/>
              </w:rPr>
              <w:t>Cartridge-based NAT</w:t>
            </w:r>
          </w:p>
        </w:tc>
        <w:tc>
          <w:tcPr>
            <w:tcW w:w="1368" w:type="dxa"/>
          </w:tcPr>
          <w:p>
            <w:pPr>
              <w:pStyle w:val="TableParagraph"/>
              <w:spacing w:line="237" w:lineRule="auto"/>
              <w:ind w:left="122" w:right="118"/>
              <w:rPr>
                <w:sz w:val="18"/>
              </w:rPr>
            </w:pPr>
            <w:r>
              <w:rPr>
                <w:sz w:val="18"/>
              </w:rPr>
              <w:t>Sputum or EPTB specimen</w:t>
            </w:r>
          </w:p>
          <w:p>
            <w:pPr>
              <w:pStyle w:val="TableParagraph"/>
              <w:ind w:left="122"/>
              <w:rPr>
                <w:sz w:val="18"/>
              </w:rPr>
            </w:pPr>
            <w:r>
              <w:rPr>
                <w:sz w:val="18"/>
              </w:rPr>
              <w:t>types</w:t>
            </w:r>
          </w:p>
        </w:tc>
        <w:tc>
          <w:tcPr>
            <w:tcW w:w="4052" w:type="dxa"/>
            <w:tcBorders>
              <w:bottom w:val="single" w:sz="4" w:space="0" w:color="000000"/>
            </w:tcBorders>
          </w:tcPr>
          <w:p>
            <w:pPr>
              <w:pStyle w:val="TableParagraph"/>
              <w:spacing w:line="237" w:lineRule="auto"/>
              <w:ind w:left="119" w:right="584"/>
              <w:rPr>
                <w:sz w:val="18"/>
              </w:rPr>
            </w:pPr>
            <w:r>
              <w:rPr>
                <w:color w:val="333333"/>
                <w:sz w:val="18"/>
              </w:rPr>
              <w:t>WHO Meeting report of a technical expert consultation: Non-inferiority analysis of Xpert</w:t>
            </w:r>
          </w:p>
          <w:p>
            <w:pPr>
              <w:pStyle w:val="TableParagraph"/>
              <w:ind w:left="119" w:right="163"/>
              <w:rPr>
                <w:sz w:val="18"/>
              </w:rPr>
            </w:pPr>
            <w:r>
              <w:rPr>
                <w:color w:val="333333"/>
                <w:sz w:val="18"/>
              </w:rPr>
              <w:t>MTB/RIF Ultra compared to Xpert MTB/RIF (2017) </w:t>
            </w:r>
            <w:hyperlink r:id="rId318">
              <w:r>
                <w:rPr>
                  <w:color w:val="0462C1"/>
                  <w:sz w:val="18"/>
                  <w:u w:val="single" w:color="0462C1"/>
                </w:rPr>
                <w:t>http://apps.who.int/iris/bitstream/handle/10665/2</w:t>
              </w:r>
            </w:hyperlink>
            <w:r>
              <w:rPr>
                <w:color w:val="0462C1"/>
                <w:sz w:val="18"/>
              </w:rPr>
              <w:t> </w:t>
            </w:r>
            <w:hyperlink r:id="rId318">
              <w:r>
                <w:rPr>
                  <w:color w:val="0462C1"/>
                  <w:sz w:val="18"/>
                  <w:u w:val="single" w:color="0462C1"/>
                </w:rPr>
                <w:t>54792/WHO-HTM-TB-2017.04-</w:t>
              </w:r>
            </w:hyperlink>
          </w:p>
          <w:p>
            <w:pPr>
              <w:pStyle w:val="TableParagraph"/>
              <w:ind w:left="119" w:right="109"/>
              <w:rPr>
                <w:sz w:val="18"/>
              </w:rPr>
            </w:pPr>
            <w:hyperlink r:id="rId318">
              <w:r>
                <w:rPr>
                  <w:color w:val="0462C1"/>
                  <w:sz w:val="18"/>
                  <w:u w:val="single" w:color="0462C1"/>
                </w:rPr>
                <w:t>eng.pdf;jsessionid=E02D0994930EDBD9A4BC5BB3D</w:t>
              </w:r>
            </w:hyperlink>
            <w:r>
              <w:rPr>
                <w:color w:val="0462C1"/>
                <w:sz w:val="18"/>
              </w:rPr>
              <w:t> </w:t>
            </w:r>
            <w:hyperlink r:id="rId318">
              <w:r>
                <w:rPr>
                  <w:color w:val="0462C1"/>
                  <w:sz w:val="18"/>
                  <w:u w:val="single" w:color="0462C1"/>
                </w:rPr>
                <w:t>3A28568?sequence=1</w:t>
              </w:r>
            </w:hyperlink>
          </w:p>
          <w:p>
            <w:pPr>
              <w:pStyle w:val="TableParagraph"/>
              <w:spacing w:before="5"/>
              <w:rPr>
                <w:rFonts w:ascii="Times New Roman"/>
                <w:sz w:val="18"/>
              </w:rPr>
            </w:pPr>
          </w:p>
          <w:p>
            <w:pPr>
              <w:pStyle w:val="TableParagraph"/>
              <w:ind w:left="119" w:right="126"/>
              <w:rPr>
                <w:sz w:val="18"/>
              </w:rPr>
            </w:pPr>
            <w:r>
              <w:rPr>
                <w:sz w:val="18"/>
              </w:rPr>
              <w:t>Automated real-time nucleic acid amplification technology for rapid and simultaneous detection of tuberculosis and rifampicin resistance: Policy update (2013) </w:t>
            </w:r>
            <w:hyperlink r:id="rId319">
              <w:r>
                <w:rPr>
                  <w:color w:val="0462C1"/>
                  <w:spacing w:val="-1"/>
                  <w:sz w:val="18"/>
                  <w:u w:val="single" w:color="0462C1"/>
                </w:rPr>
                <w:t>http://apps.who.int/iris/bitstream/10665/112472/1</w:t>
              </w:r>
            </w:hyperlink>
          </w:p>
          <w:p>
            <w:pPr>
              <w:pStyle w:val="TableParagraph"/>
              <w:spacing w:line="199" w:lineRule="exact" w:before="1"/>
              <w:ind w:left="119"/>
              <w:rPr>
                <w:sz w:val="18"/>
              </w:rPr>
            </w:pPr>
            <w:hyperlink r:id="rId319">
              <w:r>
                <w:rPr>
                  <w:color w:val="0462C1"/>
                  <w:sz w:val="18"/>
                </w:rPr>
                <w:t>/9789241506335_eng.pdf</w:t>
              </w:r>
            </w:hyperlink>
          </w:p>
        </w:tc>
        <w:tc>
          <w:tcPr>
            <w:tcW w:w="3319" w:type="dxa"/>
            <w:vMerge/>
            <w:tcBorders>
              <w:top w:val="nil"/>
              <w:right w:val="single" w:sz="12" w:space="0" w:color="000000"/>
            </w:tcBorders>
          </w:tcPr>
          <w:p>
            <w:pPr>
              <w:rPr>
                <w:sz w:val="2"/>
                <w:szCs w:val="2"/>
              </w:rPr>
            </w:pPr>
          </w:p>
        </w:tc>
      </w:tr>
      <w:tr>
        <w:trPr>
          <w:trHeight w:val="1098" w:hRule="atLeast"/>
        </w:trPr>
        <w:tc>
          <w:tcPr>
            <w:tcW w:w="1172" w:type="dxa"/>
            <w:tcBorders>
              <w:left w:val="single" w:sz="12" w:space="0" w:color="000000"/>
            </w:tcBorders>
          </w:tcPr>
          <w:p>
            <w:pPr>
              <w:pStyle w:val="TableParagraph"/>
              <w:rPr>
                <w:rFonts w:ascii="Times New Roman"/>
                <w:sz w:val="18"/>
              </w:rPr>
            </w:pPr>
          </w:p>
        </w:tc>
        <w:tc>
          <w:tcPr>
            <w:tcW w:w="1412" w:type="dxa"/>
            <w:tcBorders>
              <w:top w:val="single" w:sz="4" w:space="0" w:color="000000"/>
              <w:bottom w:val="single" w:sz="4" w:space="0" w:color="000000"/>
            </w:tcBorders>
          </w:tcPr>
          <w:p>
            <w:pPr>
              <w:pStyle w:val="TableParagraph"/>
              <w:spacing w:before="1"/>
              <w:ind w:left="117" w:right="158"/>
              <w:jc w:val="both"/>
              <w:rPr>
                <w:sz w:val="18"/>
              </w:rPr>
            </w:pPr>
            <w:r>
              <w:rPr>
                <w:i/>
                <w:sz w:val="18"/>
              </w:rPr>
              <w:t>M. tuberculosis </w:t>
            </w:r>
            <w:r>
              <w:rPr>
                <w:sz w:val="18"/>
              </w:rPr>
              <w:t>DNA mutations associated with resistance</w:t>
            </w:r>
          </w:p>
        </w:tc>
        <w:tc>
          <w:tcPr>
            <w:tcW w:w="1701" w:type="dxa"/>
            <w:tcBorders>
              <w:top w:val="single" w:sz="4" w:space="0" w:color="000000"/>
              <w:bottom w:val="single" w:sz="4" w:space="0" w:color="000000"/>
            </w:tcBorders>
          </w:tcPr>
          <w:p>
            <w:pPr>
              <w:pStyle w:val="TableParagraph"/>
              <w:spacing w:before="1"/>
              <w:ind w:left="121" w:right="102"/>
              <w:rPr>
                <w:sz w:val="18"/>
              </w:rPr>
            </w:pPr>
            <w:r>
              <w:rPr>
                <w:sz w:val="18"/>
              </w:rPr>
              <w:t>For the detection of resistance for first- line anti-TB medicines</w:t>
            </w:r>
          </w:p>
        </w:tc>
        <w:tc>
          <w:tcPr>
            <w:tcW w:w="1414" w:type="dxa"/>
            <w:tcBorders>
              <w:top w:val="single" w:sz="4" w:space="0" w:color="000000"/>
              <w:bottom w:val="single" w:sz="4" w:space="0" w:color="000000"/>
            </w:tcBorders>
          </w:tcPr>
          <w:p>
            <w:pPr>
              <w:pStyle w:val="TableParagraph"/>
              <w:spacing w:before="1"/>
              <w:ind w:left="122"/>
              <w:rPr>
                <w:sz w:val="18"/>
              </w:rPr>
            </w:pPr>
            <w:r>
              <w:rPr>
                <w:sz w:val="18"/>
              </w:rPr>
              <w:t>Molecular LPA</w:t>
            </w:r>
          </w:p>
        </w:tc>
        <w:tc>
          <w:tcPr>
            <w:tcW w:w="1368" w:type="dxa"/>
            <w:tcBorders>
              <w:bottom w:val="single" w:sz="4" w:space="0" w:color="000000"/>
            </w:tcBorders>
          </w:tcPr>
          <w:p>
            <w:pPr>
              <w:pStyle w:val="TableParagraph"/>
              <w:spacing w:before="1"/>
              <w:ind w:left="122"/>
              <w:rPr>
                <w:sz w:val="18"/>
              </w:rPr>
            </w:pPr>
            <w:r>
              <w:rPr>
                <w:sz w:val="18"/>
              </w:rPr>
              <w:t>Sputum</w:t>
            </w:r>
          </w:p>
        </w:tc>
        <w:tc>
          <w:tcPr>
            <w:tcW w:w="4052" w:type="dxa"/>
            <w:tcBorders>
              <w:top w:val="single" w:sz="4" w:space="0" w:color="000000"/>
              <w:bottom w:val="single" w:sz="4" w:space="0" w:color="000000"/>
            </w:tcBorders>
          </w:tcPr>
          <w:p>
            <w:pPr>
              <w:pStyle w:val="TableParagraph"/>
              <w:spacing w:before="1"/>
              <w:ind w:left="119" w:right="97"/>
              <w:rPr>
                <w:sz w:val="18"/>
              </w:rPr>
            </w:pPr>
            <w:r>
              <w:rPr>
                <w:sz w:val="18"/>
              </w:rPr>
              <w:t>The use of molecular line probe assays for the detection of resistance to isoniazid and rifampicin: Policy update (2016) </w:t>
            </w:r>
            <w:hyperlink r:id="rId320">
              <w:r>
                <w:rPr>
                  <w:color w:val="0462C1"/>
                  <w:sz w:val="18"/>
                  <w:u w:val="single" w:color="0462C1"/>
                </w:rPr>
                <w:t>http://apps.who.int/iris/bitstream/10665/250586/1</w:t>
              </w:r>
            </w:hyperlink>
          </w:p>
          <w:p>
            <w:pPr>
              <w:pStyle w:val="TableParagraph"/>
              <w:spacing w:line="199" w:lineRule="exact"/>
              <w:ind w:left="119"/>
              <w:rPr>
                <w:sz w:val="18"/>
              </w:rPr>
            </w:pPr>
            <w:hyperlink r:id="rId320">
              <w:r>
                <w:rPr>
                  <w:color w:val="0462C1"/>
                  <w:sz w:val="18"/>
                </w:rPr>
                <w:t>/9789241511261-eng.pdf?ua=1</w:t>
              </w:r>
            </w:hyperlink>
          </w:p>
        </w:tc>
        <w:tc>
          <w:tcPr>
            <w:tcW w:w="3319" w:type="dxa"/>
            <w:tcBorders>
              <w:right w:val="single" w:sz="12" w:space="0" w:color="000000"/>
            </w:tcBorders>
          </w:tcPr>
          <w:p>
            <w:pPr>
              <w:pStyle w:val="TableParagraph"/>
              <w:rPr>
                <w:rFonts w:ascii="Times New Roman"/>
                <w:sz w:val="18"/>
              </w:rPr>
            </w:pPr>
          </w:p>
        </w:tc>
      </w:tr>
      <w:tr>
        <w:trPr>
          <w:trHeight w:val="1279" w:hRule="atLeast"/>
        </w:trPr>
        <w:tc>
          <w:tcPr>
            <w:tcW w:w="1172" w:type="dxa"/>
            <w:tcBorders>
              <w:left w:val="single" w:sz="12" w:space="0" w:color="000000"/>
              <w:bottom w:val="single" w:sz="4" w:space="0" w:color="000000"/>
            </w:tcBorders>
          </w:tcPr>
          <w:p>
            <w:pPr>
              <w:pStyle w:val="TableParagraph"/>
              <w:rPr>
                <w:rFonts w:ascii="Times New Roman"/>
                <w:sz w:val="18"/>
              </w:rPr>
            </w:pPr>
          </w:p>
        </w:tc>
        <w:tc>
          <w:tcPr>
            <w:tcW w:w="1412" w:type="dxa"/>
            <w:tcBorders>
              <w:top w:val="single" w:sz="4" w:space="0" w:color="000000"/>
              <w:bottom w:val="single" w:sz="4" w:space="0" w:color="000000"/>
            </w:tcBorders>
          </w:tcPr>
          <w:p>
            <w:pPr>
              <w:pStyle w:val="TableParagraph"/>
              <w:spacing w:before="1"/>
              <w:ind w:left="117" w:right="158"/>
              <w:jc w:val="both"/>
              <w:rPr>
                <w:sz w:val="18"/>
              </w:rPr>
            </w:pPr>
            <w:r>
              <w:rPr>
                <w:i/>
                <w:sz w:val="18"/>
              </w:rPr>
              <w:t>M. tuberculosis </w:t>
            </w:r>
            <w:r>
              <w:rPr>
                <w:sz w:val="18"/>
              </w:rPr>
              <w:t>DNA mutations associated with resistance</w:t>
            </w:r>
          </w:p>
        </w:tc>
        <w:tc>
          <w:tcPr>
            <w:tcW w:w="1701" w:type="dxa"/>
            <w:tcBorders>
              <w:top w:val="single" w:sz="4" w:space="0" w:color="000000"/>
              <w:bottom w:val="single" w:sz="4" w:space="0" w:color="000000"/>
            </w:tcBorders>
          </w:tcPr>
          <w:p>
            <w:pPr>
              <w:pStyle w:val="TableParagraph"/>
              <w:spacing w:before="1"/>
              <w:ind w:left="121" w:right="122"/>
              <w:rPr>
                <w:sz w:val="18"/>
              </w:rPr>
            </w:pPr>
            <w:r>
              <w:rPr>
                <w:sz w:val="18"/>
              </w:rPr>
              <w:t>For the detection of resistance for second-line anti-TB medicines</w:t>
            </w:r>
          </w:p>
        </w:tc>
        <w:tc>
          <w:tcPr>
            <w:tcW w:w="1414" w:type="dxa"/>
            <w:tcBorders>
              <w:top w:val="single" w:sz="4" w:space="0" w:color="000000"/>
              <w:bottom w:val="single" w:sz="4" w:space="0" w:color="000000"/>
            </w:tcBorders>
          </w:tcPr>
          <w:p>
            <w:pPr>
              <w:pStyle w:val="TableParagraph"/>
              <w:spacing w:before="1"/>
              <w:ind w:left="122"/>
              <w:rPr>
                <w:sz w:val="18"/>
              </w:rPr>
            </w:pPr>
            <w:r>
              <w:rPr>
                <w:sz w:val="18"/>
              </w:rPr>
              <w:t>Molecular LPA</w:t>
            </w:r>
          </w:p>
        </w:tc>
        <w:tc>
          <w:tcPr>
            <w:tcW w:w="1368" w:type="dxa"/>
            <w:tcBorders>
              <w:top w:val="single" w:sz="4" w:space="0" w:color="000000"/>
              <w:bottom w:val="single" w:sz="4" w:space="0" w:color="000000"/>
            </w:tcBorders>
          </w:tcPr>
          <w:p>
            <w:pPr>
              <w:pStyle w:val="TableParagraph"/>
              <w:spacing w:before="1"/>
              <w:ind w:left="122"/>
              <w:rPr>
                <w:sz w:val="18"/>
              </w:rPr>
            </w:pPr>
            <w:r>
              <w:rPr>
                <w:sz w:val="18"/>
              </w:rPr>
              <w:t>Sputum</w:t>
            </w:r>
          </w:p>
        </w:tc>
        <w:tc>
          <w:tcPr>
            <w:tcW w:w="4052" w:type="dxa"/>
            <w:tcBorders>
              <w:top w:val="single" w:sz="4" w:space="0" w:color="000000"/>
              <w:bottom w:val="single" w:sz="4" w:space="0" w:color="000000"/>
            </w:tcBorders>
          </w:tcPr>
          <w:p>
            <w:pPr>
              <w:pStyle w:val="TableParagraph"/>
              <w:spacing w:before="1"/>
              <w:ind w:left="119" w:right="163"/>
              <w:rPr>
                <w:sz w:val="18"/>
              </w:rPr>
            </w:pPr>
            <w:r>
              <w:rPr>
                <w:sz w:val="18"/>
              </w:rPr>
              <w:t>The use of molecular line probe assays for the detection of resistance to second-line anti- tuberculosis drugs: Policy update (2016) </w:t>
            </w:r>
            <w:hyperlink r:id="rId321">
              <w:r>
                <w:rPr>
                  <w:color w:val="0462C1"/>
                  <w:sz w:val="18"/>
                  <w:u w:val="single" w:color="0462C1"/>
                </w:rPr>
                <w:t>http://apps.who.int/iris/bitstream/handle/10665/2</w:t>
              </w:r>
            </w:hyperlink>
            <w:r>
              <w:rPr>
                <w:color w:val="0462C1"/>
                <w:sz w:val="18"/>
              </w:rPr>
              <w:t> </w:t>
            </w:r>
            <w:hyperlink r:id="rId321">
              <w:r>
                <w:rPr>
                  <w:color w:val="0462C1"/>
                  <w:sz w:val="18"/>
                  <w:u w:val="single" w:color="0462C1"/>
                </w:rPr>
                <w:t>46131/9789241510561-eng.pdf?sequence=1</w:t>
              </w:r>
            </w:hyperlink>
          </w:p>
        </w:tc>
        <w:tc>
          <w:tcPr>
            <w:tcW w:w="3319" w:type="dxa"/>
            <w:tcBorders>
              <w:bottom w:val="single" w:sz="4" w:space="0" w:color="000000"/>
              <w:right w:val="single" w:sz="12" w:space="0" w:color="000000"/>
            </w:tcBorders>
          </w:tcPr>
          <w:p>
            <w:pPr>
              <w:pStyle w:val="TableParagraph"/>
              <w:rPr>
                <w:rFonts w:ascii="Times New Roman"/>
                <w:sz w:val="18"/>
              </w:rPr>
            </w:pPr>
          </w:p>
        </w:tc>
      </w:tr>
    </w:tbl>
    <w:p>
      <w:pPr>
        <w:spacing w:after="0"/>
        <w:rPr>
          <w:rFonts w:ascii="Times New Roman"/>
          <w:sz w:val="18"/>
        </w:rPr>
        <w:sectPr>
          <w:headerReference w:type="default" r:id="rId300"/>
          <w:footerReference w:type="default" r:id="rId301"/>
          <w:pgSz w:w="16840" w:h="11910" w:orient="landscape"/>
          <w:pgMar w:header="0" w:footer="495" w:top="1100" w:bottom="680" w:left="1180" w:right="920"/>
          <w:pgNumType w:start="25"/>
        </w:sectPr>
      </w:pPr>
    </w:p>
    <w:p>
      <w:pPr>
        <w:pStyle w:val="BodyText"/>
        <w:rPr>
          <w:rFonts w:ascii="Times New Roman"/>
          <w:sz w:val="29"/>
        </w:rPr>
      </w:pPr>
      <w:r>
        <w:rPr/>
        <w:pict>
          <v:group style="position:absolute;margin-left:125.18pt;margin-top:98.660004pt;width:.5pt;height:173.7pt;mso-position-horizontal-relative:page;mso-position-vertical-relative:page;z-index:-121744" coordorigin="2504,1973" coordsize="10,3474">
            <v:shape style="position:absolute;left:2503;top:1973;width:10;height:586" type="#_x0000_t75" stroked="false">
              <v:imagedata r:id="rId302" o:title=""/>
            </v:shape>
            <v:shape style="position:absolute;left:2503;top:2558;width:10;height:10" type="#_x0000_t75" stroked="false">
              <v:imagedata r:id="rId314" o:title=""/>
            </v:shape>
            <v:shape style="position:absolute;left:2503;top:2568;width:10;height:1331" type="#_x0000_t75" stroked="false">
              <v:imagedata r:id="rId324" o:title=""/>
            </v:shape>
            <v:shape style="position:absolute;left:2503;top:3898;width:10;height:1549" type="#_x0000_t75" stroked="false">
              <v:imagedata r:id="rId325" o:title=""/>
            </v:shape>
            <w10:wrap type="none"/>
          </v:group>
        </w:pict>
      </w:r>
      <w:r>
        <w:rPr/>
        <w:pict>
          <v:group style="position:absolute;margin-left:195.979996pt;margin-top:98.660004pt;width:.5pt;height:95pt;mso-position-horizontal-relative:page;mso-position-vertical-relative:page;z-index:-121720" coordorigin="3920,1973" coordsize="10,1900">
            <v:shape style="position:absolute;left:3919;top:1973;width:10;height:586" type="#_x0000_t75" stroked="false">
              <v:imagedata r:id="rId302" o:title=""/>
            </v:shape>
            <v:shape style="position:absolute;left:3919;top:2558;width:10;height:10" type="#_x0000_t75" stroked="false">
              <v:imagedata r:id="rId314" o:title=""/>
            </v:shape>
            <v:shape style="position:absolute;left:3919;top:2568;width:10;height:1305" type="#_x0000_t75" stroked="false">
              <v:imagedata r:id="rId326" o:title=""/>
            </v:shape>
            <w10:wrap type="none"/>
          </v:group>
        </w:pict>
      </w:r>
      <w:r>
        <w:rPr/>
        <w:pict>
          <v:group style="position:absolute;margin-left:351.769989pt;margin-top:98.660004pt;width:.5pt;height:267.650pt;mso-position-horizontal-relative:page;mso-position-vertical-relative:page;z-index:-121696" coordorigin="7035,1973" coordsize="10,5353">
            <v:shape style="position:absolute;left:7035;top:1973;width:10;height:586" type="#_x0000_t75" stroked="false">
              <v:imagedata r:id="rId302" o:title=""/>
            </v:shape>
            <v:shape style="position:absolute;left:7035;top:2558;width:10;height:1323" type="#_x0000_t75" stroked="false">
              <v:imagedata r:id="rId327" o:title=""/>
            </v:shape>
            <v:shape style="position:absolute;left:7035;top:3889;width:10;height:3438" type="#_x0000_t75" stroked="false">
              <v:imagedata r:id="rId328" o:title=""/>
            </v:shape>
            <w10:wrap type="none"/>
          </v:group>
        </w:pict>
      </w:r>
      <w:r>
        <w:rPr/>
        <w:pict>
          <v:group style="position:absolute;margin-left:420.070007pt;margin-top:98.660004pt;width:.5pt;height:95pt;mso-position-horizontal-relative:page;mso-position-vertical-relative:page;z-index:-121672" coordorigin="8401,1973" coordsize="10,1900">
            <v:shape style="position:absolute;left:8401;top:1973;width:10;height:586" type="#_x0000_t75" stroked="false">
              <v:imagedata r:id="rId302" o:title=""/>
            </v:shape>
            <v:shape style="position:absolute;left:8401;top:2558;width:10;height:10" type="#_x0000_t75" stroked="false">
              <v:imagedata r:id="rId314" o:title=""/>
            </v:shape>
            <v:shape style="position:absolute;left:8401;top:2568;width:10;height:1305" type="#_x0000_t75" stroked="false">
              <v:imagedata r:id="rId326" o:title=""/>
            </v:shape>
            <w10:wrap type="none"/>
          </v:group>
        </w:pict>
      </w:r>
      <w:r>
        <w:rPr/>
        <w:pict>
          <v:line style="position:absolute;mso-position-horizontal-relative:page;mso-position-vertical-relative:page;z-index:-121648" from="425.709991pt,193.190002pt" to="451.029991pt,193.190002pt" stroked="true" strokeweight=".600010pt" strokecolor="#0462c1">
            <v:stroke dashstyle="solid"/>
            <w10:wrap type="none"/>
          </v:line>
        </w:pict>
      </w:r>
      <w:r>
        <w:rPr/>
        <w:pict>
          <v:line style="position:absolute;mso-position-horizontal-relative:page;mso-position-vertical-relative:page;z-index:-121624" from="425.709991pt,270.598022pt" to="594.929991pt,270.598022pt" stroked="true" strokeweight=".623990pt" strokecolor="#0462c1">
            <v:stroke dashstyle="solid"/>
            <w10:wrap type="none"/>
          </v:line>
        </w:pict>
      </w:r>
      <w:r>
        <w:rPr/>
        <w:pict>
          <v:group style="position:absolute;margin-left:195.979996pt;margin-top:194.450027pt;width:.5pt;height:77.9pt;mso-position-horizontal-relative:page;mso-position-vertical-relative:page;z-index:-121600" coordorigin="3920,3889" coordsize="10,1558">
            <v:shape style="position:absolute;left:3919;top:3889;width:10;height:10" type="#_x0000_t75" stroked="false">
              <v:imagedata r:id="rId314" o:title=""/>
            </v:shape>
            <v:shape style="position:absolute;left:3919;top:3898;width:10;height:1549" type="#_x0000_t75" stroked="false">
              <v:imagedata r:id="rId329" o:title=""/>
            </v:shape>
            <w10:wrap type="none"/>
          </v:group>
        </w:pict>
      </w:r>
      <w:r>
        <w:rPr/>
        <w:pict>
          <v:group style="position:absolute;margin-left:420.070007pt;margin-top:194.450027pt;width:.5pt;height:77.9pt;mso-position-horizontal-relative:page;mso-position-vertical-relative:page;z-index:-121576" coordorigin="8401,3889" coordsize="10,1558">
            <v:shape style="position:absolute;left:8401;top:3889;width:10;height:10" type="#_x0000_t75" stroked="false">
              <v:imagedata r:id="rId314" o:title=""/>
            </v:shape>
            <v:shape style="position:absolute;left:8401;top:3898;width:10;height:1549" type="#_x0000_t75" stroked="false">
              <v:imagedata r:id="rId329" o:title=""/>
            </v:shape>
            <w10:wrap type="none"/>
          </v:group>
        </w:pict>
      </w:r>
      <w:r>
        <w:rPr/>
        <w:drawing>
          <wp:anchor distT="0" distB="0" distL="0" distR="0" allowOverlap="1" layoutInCell="1" locked="0" behindDoc="1" simplePos="0" relativeHeight="268313903">
            <wp:simplePos x="0" y="0"/>
            <wp:positionH relativeFrom="page">
              <wp:posOffset>3569842</wp:posOffset>
            </wp:positionH>
            <wp:positionV relativeFrom="page">
              <wp:posOffset>1252982</wp:posOffset>
            </wp:positionV>
            <wp:extent cx="6094" cy="3398520"/>
            <wp:effectExtent l="0" t="0" r="0" b="0"/>
            <wp:wrapNone/>
            <wp:docPr id="57" name="image243.png" descr=""/>
            <wp:cNvGraphicFramePr>
              <a:graphicFrameLocks noChangeAspect="1"/>
            </wp:cNvGraphicFramePr>
            <a:graphic>
              <a:graphicData uri="http://schemas.openxmlformats.org/drawingml/2006/picture">
                <pic:pic>
                  <pic:nvPicPr>
                    <pic:cNvPr id="58" name="image243.png"/>
                    <pic:cNvPicPr/>
                  </pic:nvPicPr>
                  <pic:blipFill>
                    <a:blip r:embed="rId330" cstate="print"/>
                    <a:stretch>
                      <a:fillRect/>
                    </a:stretch>
                  </pic:blipFill>
                  <pic:spPr>
                    <a:xfrm>
                      <a:off x="0" y="0"/>
                      <a:ext cx="6094" cy="3398520"/>
                    </a:xfrm>
                    <a:prstGeom prst="rect">
                      <a:avLst/>
                    </a:prstGeom>
                  </pic:spPr>
                </pic:pic>
              </a:graphicData>
            </a:graphic>
          </wp:anchor>
        </w:drawing>
      </w:r>
      <w:r>
        <w:rPr/>
        <w:drawing>
          <wp:anchor distT="0" distB="0" distL="0" distR="0" allowOverlap="1" layoutInCell="1" locked="0" behindDoc="1" simplePos="0" relativeHeight="268313927">
            <wp:simplePos x="0" y="0"/>
            <wp:positionH relativeFrom="page">
              <wp:posOffset>7910830</wp:posOffset>
            </wp:positionH>
            <wp:positionV relativeFrom="page">
              <wp:posOffset>1252982</wp:posOffset>
            </wp:positionV>
            <wp:extent cx="6094" cy="3398520"/>
            <wp:effectExtent l="0" t="0" r="0" b="0"/>
            <wp:wrapNone/>
            <wp:docPr id="59" name="image243.png" descr=""/>
            <wp:cNvGraphicFramePr>
              <a:graphicFrameLocks noChangeAspect="1"/>
            </wp:cNvGraphicFramePr>
            <a:graphic>
              <a:graphicData uri="http://schemas.openxmlformats.org/drawingml/2006/picture">
                <pic:pic>
                  <pic:nvPicPr>
                    <pic:cNvPr id="60" name="image243.png"/>
                    <pic:cNvPicPr/>
                  </pic:nvPicPr>
                  <pic:blipFill>
                    <a:blip r:embed="rId330" cstate="print"/>
                    <a:stretch>
                      <a:fillRect/>
                    </a:stretch>
                  </pic:blipFill>
                  <pic:spPr>
                    <a:xfrm>
                      <a:off x="0" y="0"/>
                      <a:ext cx="6094" cy="3398520"/>
                    </a:xfrm>
                    <a:prstGeom prst="rect">
                      <a:avLst/>
                    </a:prstGeom>
                  </pic:spPr>
                </pic:pic>
              </a:graphicData>
            </a:graphic>
          </wp:anchor>
        </w:drawing>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2"/>
        <w:gridCol w:w="1412"/>
        <w:gridCol w:w="1701"/>
        <w:gridCol w:w="1414"/>
        <w:gridCol w:w="1368"/>
        <w:gridCol w:w="4052"/>
        <w:gridCol w:w="3319"/>
      </w:tblGrid>
      <w:tr>
        <w:trPr>
          <w:trHeight w:val="513" w:hRule="atLeast"/>
        </w:trPr>
        <w:tc>
          <w:tcPr>
            <w:tcW w:w="14438" w:type="dxa"/>
            <w:gridSpan w:val="7"/>
            <w:tcBorders>
              <w:top w:val="single" w:sz="4" w:space="0" w:color="000000"/>
              <w:left w:val="single" w:sz="12" w:space="0" w:color="000000"/>
              <w:bottom w:val="single" w:sz="4" w:space="0" w:color="000000"/>
              <w:right w:val="single" w:sz="12" w:space="0" w:color="000000"/>
            </w:tcBorders>
            <w:shd w:val="clear" w:color="auto" w:fill="E7E6E6"/>
          </w:tcPr>
          <w:p>
            <w:pPr>
              <w:pStyle w:val="TableParagraph"/>
              <w:spacing w:line="292" w:lineRule="exact"/>
              <w:ind w:left="107"/>
              <w:rPr>
                <w:b/>
                <w:sz w:val="24"/>
              </w:rPr>
            </w:pPr>
            <w:r>
              <w:rPr>
                <w:b/>
                <w:sz w:val="22"/>
              </w:rPr>
              <w:t>II.b </w:t>
            </w:r>
            <w:r>
              <w:rPr>
                <w:b/>
                <w:sz w:val="24"/>
              </w:rPr>
              <w:t>Disease-specific IVDs for health care facilities with clinical laboratories</w:t>
            </w:r>
          </w:p>
        </w:tc>
      </w:tr>
      <w:tr>
        <w:trPr>
          <w:trHeight w:val="585" w:hRule="atLeast"/>
        </w:trPr>
        <w:tc>
          <w:tcPr>
            <w:tcW w:w="1172" w:type="dxa"/>
            <w:tcBorders>
              <w:top w:val="single" w:sz="4" w:space="0" w:color="000000"/>
              <w:left w:val="single" w:sz="12" w:space="0" w:color="000000"/>
              <w:bottom w:val="single" w:sz="4" w:space="0" w:color="000000"/>
            </w:tcBorders>
            <w:shd w:val="clear" w:color="auto" w:fill="E7E6E6"/>
          </w:tcPr>
          <w:p>
            <w:pPr>
              <w:pStyle w:val="TableParagraph"/>
              <w:rPr>
                <w:rFonts w:ascii="Times New Roman"/>
                <w:sz w:val="18"/>
              </w:rPr>
            </w:pPr>
          </w:p>
        </w:tc>
        <w:tc>
          <w:tcPr>
            <w:tcW w:w="1412" w:type="dxa"/>
            <w:tcBorders>
              <w:top w:val="single" w:sz="4" w:space="0" w:color="000000"/>
              <w:bottom w:val="single" w:sz="4" w:space="0" w:color="000000"/>
            </w:tcBorders>
            <w:shd w:val="clear" w:color="auto" w:fill="E7E6E6"/>
          </w:tcPr>
          <w:p>
            <w:pPr>
              <w:pStyle w:val="TableParagraph"/>
              <w:spacing w:line="194" w:lineRule="exact"/>
              <w:ind w:left="117"/>
              <w:rPr>
                <w:b/>
                <w:sz w:val="16"/>
              </w:rPr>
            </w:pPr>
            <w:r>
              <w:rPr>
                <w:b/>
                <w:sz w:val="16"/>
              </w:rPr>
              <w:t>Diagnostic test</w:t>
            </w:r>
          </w:p>
        </w:tc>
        <w:tc>
          <w:tcPr>
            <w:tcW w:w="1701" w:type="dxa"/>
            <w:tcBorders>
              <w:top w:val="single" w:sz="4" w:space="0" w:color="000000"/>
              <w:bottom w:val="single" w:sz="4" w:space="0" w:color="000000"/>
            </w:tcBorders>
            <w:shd w:val="clear" w:color="auto" w:fill="E7E6E6"/>
          </w:tcPr>
          <w:p>
            <w:pPr>
              <w:pStyle w:val="TableParagraph"/>
              <w:spacing w:line="194" w:lineRule="exact"/>
              <w:ind w:left="121"/>
              <w:rPr>
                <w:b/>
                <w:sz w:val="16"/>
              </w:rPr>
            </w:pPr>
            <w:r>
              <w:rPr>
                <w:b/>
                <w:sz w:val="16"/>
              </w:rPr>
              <w:t>Test purpose</w:t>
            </w:r>
          </w:p>
        </w:tc>
        <w:tc>
          <w:tcPr>
            <w:tcW w:w="1414" w:type="dxa"/>
            <w:tcBorders>
              <w:top w:val="single" w:sz="4" w:space="0" w:color="000000"/>
              <w:bottom w:val="single" w:sz="4" w:space="0" w:color="000000"/>
            </w:tcBorders>
            <w:shd w:val="clear" w:color="auto" w:fill="E7E6E6"/>
          </w:tcPr>
          <w:p>
            <w:pPr>
              <w:pStyle w:val="TableParagraph"/>
              <w:spacing w:line="194" w:lineRule="exact"/>
              <w:ind w:left="122"/>
              <w:rPr>
                <w:b/>
                <w:sz w:val="16"/>
              </w:rPr>
            </w:pPr>
            <w:r>
              <w:rPr>
                <w:b/>
                <w:sz w:val="16"/>
              </w:rPr>
              <w:t>Assay format</w:t>
            </w:r>
          </w:p>
        </w:tc>
        <w:tc>
          <w:tcPr>
            <w:tcW w:w="1368" w:type="dxa"/>
            <w:tcBorders>
              <w:top w:val="single" w:sz="4" w:space="0" w:color="000000"/>
              <w:bottom w:val="single" w:sz="4" w:space="0" w:color="000000"/>
            </w:tcBorders>
            <w:shd w:val="clear" w:color="auto" w:fill="E7E6E6"/>
          </w:tcPr>
          <w:p>
            <w:pPr>
              <w:pStyle w:val="TableParagraph"/>
              <w:spacing w:line="194" w:lineRule="exact"/>
              <w:ind w:left="122"/>
              <w:rPr>
                <w:b/>
                <w:sz w:val="16"/>
              </w:rPr>
            </w:pPr>
            <w:r>
              <w:rPr>
                <w:b/>
                <w:sz w:val="16"/>
              </w:rPr>
              <w:t>Specimen type</w:t>
            </w:r>
          </w:p>
        </w:tc>
        <w:tc>
          <w:tcPr>
            <w:tcW w:w="4052" w:type="dxa"/>
            <w:tcBorders>
              <w:top w:val="single" w:sz="4" w:space="0" w:color="000000"/>
              <w:bottom w:val="single" w:sz="4" w:space="0" w:color="000000"/>
            </w:tcBorders>
            <w:shd w:val="clear" w:color="auto" w:fill="E7E6E6"/>
          </w:tcPr>
          <w:p>
            <w:pPr>
              <w:pStyle w:val="TableParagraph"/>
              <w:spacing w:line="194" w:lineRule="exact"/>
              <w:ind w:left="119"/>
              <w:rPr>
                <w:b/>
                <w:sz w:val="16"/>
              </w:rPr>
            </w:pPr>
            <w:r>
              <w:rPr>
                <w:b/>
                <w:sz w:val="16"/>
              </w:rPr>
              <w:t>WHO prequalified or endorsed products</w:t>
            </w:r>
          </w:p>
          <w:p>
            <w:pPr>
              <w:pStyle w:val="TableParagraph"/>
              <w:spacing w:line="195" w:lineRule="exact"/>
              <w:ind w:left="119"/>
              <w:rPr>
                <w:sz w:val="16"/>
              </w:rPr>
            </w:pPr>
            <w:r>
              <w:rPr>
                <w:sz w:val="16"/>
              </w:rPr>
              <w:t>(all TB tests are evaluated and guidelines developed</w:t>
            </w:r>
          </w:p>
          <w:p>
            <w:pPr>
              <w:pStyle w:val="TableParagraph"/>
              <w:spacing w:line="175" w:lineRule="exact" w:before="1"/>
              <w:ind w:left="119"/>
              <w:rPr>
                <w:sz w:val="16"/>
              </w:rPr>
            </w:pPr>
            <w:r>
              <w:rPr>
                <w:sz w:val="16"/>
              </w:rPr>
              <w:t>through the WHO Global TB Programme)</w:t>
            </w:r>
          </w:p>
        </w:tc>
        <w:tc>
          <w:tcPr>
            <w:tcW w:w="3319" w:type="dxa"/>
            <w:tcBorders>
              <w:top w:val="single" w:sz="4" w:space="0" w:color="000000"/>
              <w:bottom w:val="single" w:sz="4" w:space="0" w:color="000000"/>
              <w:right w:val="single" w:sz="12" w:space="0" w:color="000000"/>
            </w:tcBorders>
            <w:shd w:val="clear" w:color="auto" w:fill="E7E6E6"/>
          </w:tcPr>
          <w:p>
            <w:pPr>
              <w:pStyle w:val="TableParagraph"/>
              <w:spacing w:line="194" w:lineRule="exact"/>
              <w:ind w:left="124"/>
              <w:rPr>
                <w:b/>
                <w:sz w:val="16"/>
              </w:rPr>
            </w:pPr>
            <w:r>
              <w:rPr>
                <w:b/>
                <w:sz w:val="16"/>
              </w:rPr>
              <w:t>WHO supporting documents</w:t>
            </w:r>
          </w:p>
        </w:tc>
      </w:tr>
      <w:tr>
        <w:trPr>
          <w:trHeight w:val="1320" w:hRule="atLeast"/>
        </w:trPr>
        <w:tc>
          <w:tcPr>
            <w:tcW w:w="1172" w:type="dxa"/>
            <w:tcBorders>
              <w:top w:val="single" w:sz="4" w:space="0" w:color="000000"/>
              <w:left w:val="single" w:sz="12" w:space="0" w:color="000000"/>
            </w:tcBorders>
          </w:tcPr>
          <w:p>
            <w:pPr>
              <w:pStyle w:val="TableParagraph"/>
              <w:spacing w:line="219" w:lineRule="exact"/>
              <w:ind w:left="107"/>
              <w:rPr>
                <w:sz w:val="18"/>
              </w:rPr>
            </w:pPr>
            <w:r>
              <w:rPr>
                <w:sz w:val="18"/>
              </w:rPr>
              <w:t>Tuberculosis</w:t>
            </w:r>
          </w:p>
        </w:tc>
        <w:tc>
          <w:tcPr>
            <w:tcW w:w="1412" w:type="dxa"/>
            <w:tcBorders>
              <w:top w:val="single" w:sz="4" w:space="0" w:color="000000"/>
              <w:bottom w:val="single" w:sz="4" w:space="0" w:color="000000"/>
            </w:tcBorders>
          </w:tcPr>
          <w:p>
            <w:pPr>
              <w:pStyle w:val="TableParagraph"/>
              <w:ind w:left="117" w:right="176"/>
              <w:rPr>
                <w:sz w:val="18"/>
              </w:rPr>
            </w:pPr>
            <w:r>
              <w:rPr>
                <w:i/>
                <w:sz w:val="18"/>
              </w:rPr>
              <w:t>M. tuberculosis </w:t>
            </w:r>
            <w:r>
              <w:rPr>
                <w:sz w:val="18"/>
              </w:rPr>
              <w:t>culture-based DST</w:t>
            </w:r>
          </w:p>
        </w:tc>
        <w:tc>
          <w:tcPr>
            <w:tcW w:w="1701" w:type="dxa"/>
            <w:tcBorders>
              <w:top w:val="single" w:sz="4" w:space="0" w:color="000000"/>
              <w:bottom w:val="single" w:sz="4" w:space="0" w:color="000000"/>
            </w:tcBorders>
          </w:tcPr>
          <w:p>
            <w:pPr>
              <w:pStyle w:val="TableParagraph"/>
              <w:ind w:left="121" w:right="104"/>
              <w:rPr>
                <w:sz w:val="18"/>
              </w:rPr>
            </w:pPr>
            <w:r>
              <w:rPr>
                <w:sz w:val="18"/>
              </w:rPr>
              <w:t>To detect resistance to first-line and/or second-line anti-TB medicines</w:t>
            </w:r>
          </w:p>
        </w:tc>
        <w:tc>
          <w:tcPr>
            <w:tcW w:w="1414" w:type="dxa"/>
            <w:tcBorders>
              <w:top w:val="single" w:sz="4" w:space="0" w:color="000000"/>
              <w:bottom w:val="single" w:sz="4" w:space="0" w:color="000000"/>
            </w:tcBorders>
          </w:tcPr>
          <w:p>
            <w:pPr>
              <w:pStyle w:val="TableParagraph"/>
              <w:spacing w:line="219" w:lineRule="exact"/>
              <w:ind w:left="122"/>
              <w:rPr>
                <w:sz w:val="18"/>
              </w:rPr>
            </w:pPr>
            <w:r>
              <w:rPr>
                <w:sz w:val="18"/>
              </w:rPr>
              <w:t>DST</w:t>
            </w:r>
          </w:p>
        </w:tc>
        <w:tc>
          <w:tcPr>
            <w:tcW w:w="1368" w:type="dxa"/>
            <w:tcBorders>
              <w:top w:val="single" w:sz="4" w:space="0" w:color="000000"/>
            </w:tcBorders>
          </w:tcPr>
          <w:p>
            <w:pPr>
              <w:pStyle w:val="TableParagraph"/>
              <w:ind w:left="122" w:right="276"/>
              <w:rPr>
                <w:i/>
                <w:sz w:val="18"/>
              </w:rPr>
            </w:pPr>
            <w:r>
              <w:rPr>
                <w:sz w:val="18"/>
              </w:rPr>
              <w:t>Bacterial culture of </w:t>
            </w:r>
            <w:r>
              <w:rPr>
                <w:i/>
                <w:sz w:val="18"/>
              </w:rPr>
              <w:t>M. </w:t>
            </w:r>
            <w:r>
              <w:rPr>
                <w:i/>
                <w:sz w:val="18"/>
              </w:rPr>
              <w:t>tuberculosis</w:t>
            </w:r>
          </w:p>
        </w:tc>
        <w:tc>
          <w:tcPr>
            <w:tcW w:w="4052" w:type="dxa"/>
            <w:tcBorders>
              <w:top w:val="single" w:sz="4" w:space="0" w:color="000000"/>
              <w:bottom w:val="single" w:sz="4" w:space="0" w:color="000000"/>
            </w:tcBorders>
          </w:tcPr>
          <w:p>
            <w:pPr>
              <w:pStyle w:val="TableParagraph"/>
              <w:ind w:left="119"/>
              <w:rPr>
                <w:sz w:val="18"/>
              </w:rPr>
            </w:pPr>
            <w:r>
              <w:rPr>
                <w:sz w:val="18"/>
              </w:rPr>
              <w:t>Technical report on critical concentrations for drug susceptibility testing of medicines used in the treatment of drug-resistant tuberculosis (2018) </w:t>
            </w:r>
            <w:hyperlink r:id="rId331">
              <w:r>
                <w:rPr>
                  <w:color w:val="0462C1"/>
                  <w:sz w:val="18"/>
                  <w:u w:val="single" w:color="0462C1"/>
                </w:rPr>
                <w:t>http://www.who.int/tb/publications/2018/WHO_te</w:t>
              </w:r>
            </w:hyperlink>
            <w:r>
              <w:rPr>
                <w:color w:val="0462C1"/>
                <w:sz w:val="18"/>
              </w:rPr>
              <w:t> </w:t>
            </w:r>
            <w:hyperlink r:id="rId331">
              <w:r>
                <w:rPr>
                  <w:color w:val="0462C1"/>
                  <w:sz w:val="18"/>
                  <w:u w:val="single" w:color="0462C1"/>
                </w:rPr>
                <w:t>chnical_report_concentrations_TB_drug_susceptibil</w:t>
              </w:r>
            </w:hyperlink>
          </w:p>
          <w:p>
            <w:pPr>
              <w:pStyle w:val="TableParagraph"/>
              <w:spacing w:line="202" w:lineRule="exact"/>
              <w:ind w:left="119"/>
              <w:rPr>
                <w:sz w:val="18"/>
              </w:rPr>
            </w:pPr>
            <w:hyperlink r:id="rId331">
              <w:r>
                <w:rPr>
                  <w:color w:val="0462C1"/>
                  <w:sz w:val="18"/>
                </w:rPr>
                <w:t>ity/en/</w:t>
              </w:r>
            </w:hyperlink>
          </w:p>
        </w:tc>
        <w:tc>
          <w:tcPr>
            <w:tcW w:w="3319" w:type="dxa"/>
            <w:tcBorders>
              <w:top w:val="single" w:sz="4" w:space="0" w:color="000000"/>
              <w:right w:val="single" w:sz="12" w:space="0" w:color="000000"/>
            </w:tcBorders>
          </w:tcPr>
          <w:p>
            <w:pPr>
              <w:pStyle w:val="TableParagraph"/>
              <w:rPr>
                <w:rFonts w:ascii="Times New Roman"/>
                <w:sz w:val="18"/>
              </w:rPr>
            </w:pPr>
          </w:p>
        </w:tc>
      </w:tr>
      <w:tr>
        <w:trPr>
          <w:trHeight w:val="1538" w:hRule="atLeast"/>
        </w:trPr>
        <w:tc>
          <w:tcPr>
            <w:tcW w:w="1172" w:type="dxa"/>
            <w:tcBorders>
              <w:left w:val="single" w:sz="12" w:space="0" w:color="000000"/>
            </w:tcBorders>
          </w:tcPr>
          <w:p>
            <w:pPr>
              <w:pStyle w:val="TableParagraph"/>
              <w:rPr>
                <w:rFonts w:ascii="Times New Roman"/>
                <w:sz w:val="18"/>
              </w:rPr>
            </w:pPr>
          </w:p>
        </w:tc>
        <w:tc>
          <w:tcPr>
            <w:tcW w:w="1412" w:type="dxa"/>
            <w:tcBorders>
              <w:top w:val="single" w:sz="4" w:space="0" w:color="000000"/>
              <w:bottom w:val="single" w:sz="4" w:space="0" w:color="000000"/>
            </w:tcBorders>
          </w:tcPr>
          <w:p>
            <w:pPr>
              <w:pStyle w:val="TableParagraph"/>
              <w:ind w:left="117" w:right="191"/>
              <w:rPr>
                <w:sz w:val="18"/>
              </w:rPr>
            </w:pPr>
            <w:r>
              <w:rPr>
                <w:sz w:val="18"/>
              </w:rPr>
              <w:t>Lipoarabino- mannan (LAM) antigen</w:t>
            </w:r>
          </w:p>
        </w:tc>
        <w:tc>
          <w:tcPr>
            <w:tcW w:w="1701" w:type="dxa"/>
            <w:tcBorders>
              <w:top w:val="single" w:sz="4" w:space="0" w:color="000000"/>
              <w:bottom w:val="single" w:sz="4" w:space="0" w:color="000000"/>
            </w:tcBorders>
          </w:tcPr>
          <w:p>
            <w:pPr>
              <w:pStyle w:val="TableParagraph"/>
              <w:ind w:left="121" w:right="141"/>
              <w:rPr>
                <w:sz w:val="18"/>
              </w:rPr>
            </w:pPr>
            <w:r>
              <w:rPr>
                <w:sz w:val="18"/>
              </w:rPr>
              <w:t>To aid in the diagnosis of TB in seriously ill HIV- positive inpatients</w:t>
            </w:r>
          </w:p>
        </w:tc>
        <w:tc>
          <w:tcPr>
            <w:tcW w:w="1414" w:type="dxa"/>
            <w:tcBorders>
              <w:top w:val="single" w:sz="4" w:space="0" w:color="000000"/>
              <w:bottom w:val="single" w:sz="4" w:space="0" w:color="000000"/>
            </w:tcBorders>
          </w:tcPr>
          <w:p>
            <w:pPr>
              <w:pStyle w:val="TableParagraph"/>
              <w:spacing w:line="219" w:lineRule="exact"/>
              <w:ind w:left="122"/>
              <w:rPr>
                <w:sz w:val="18"/>
              </w:rPr>
            </w:pPr>
            <w:r>
              <w:rPr>
                <w:sz w:val="18"/>
              </w:rPr>
              <w:t>RDT</w:t>
            </w:r>
          </w:p>
        </w:tc>
        <w:tc>
          <w:tcPr>
            <w:tcW w:w="1368" w:type="dxa"/>
            <w:tcBorders>
              <w:bottom w:val="single" w:sz="4" w:space="0" w:color="000000"/>
            </w:tcBorders>
          </w:tcPr>
          <w:p>
            <w:pPr>
              <w:pStyle w:val="TableParagraph"/>
              <w:spacing w:line="219" w:lineRule="exact"/>
              <w:ind w:left="122"/>
              <w:rPr>
                <w:sz w:val="18"/>
              </w:rPr>
            </w:pPr>
            <w:r>
              <w:rPr>
                <w:sz w:val="18"/>
              </w:rPr>
              <w:t>Urine</w:t>
            </w:r>
          </w:p>
        </w:tc>
        <w:tc>
          <w:tcPr>
            <w:tcW w:w="4052" w:type="dxa"/>
            <w:tcBorders>
              <w:top w:val="single" w:sz="4" w:space="0" w:color="000000"/>
              <w:bottom w:val="single" w:sz="4" w:space="0" w:color="000000"/>
            </w:tcBorders>
          </w:tcPr>
          <w:p>
            <w:pPr>
              <w:pStyle w:val="TableParagraph"/>
              <w:ind w:left="119" w:right="141"/>
              <w:rPr>
                <w:sz w:val="18"/>
              </w:rPr>
            </w:pPr>
            <w:r>
              <w:rPr>
                <w:color w:val="333333"/>
                <w:sz w:val="18"/>
              </w:rPr>
              <w:t>The use of lateral flow urine lipoarabinomannan assay (LF-LAM) for the diagnosis and screening of active tuberculosis in people living with HIV: Policy update (2015) </w:t>
            </w:r>
            <w:hyperlink r:id="rId332">
              <w:r>
                <w:rPr>
                  <w:color w:val="0462C1"/>
                  <w:sz w:val="18"/>
                  <w:u w:val="single" w:color="0462C1"/>
                </w:rPr>
                <w:t>http://apps.who.int/iris/bitstream/handle/10665/1</w:t>
              </w:r>
            </w:hyperlink>
            <w:r>
              <w:rPr>
                <w:color w:val="0462C1"/>
                <w:sz w:val="18"/>
              </w:rPr>
              <w:t> </w:t>
            </w:r>
            <w:hyperlink r:id="rId332">
              <w:r>
                <w:rPr>
                  <w:color w:val="0462C1"/>
                  <w:sz w:val="18"/>
                  <w:u w:val="single" w:color="0462C1"/>
                </w:rPr>
                <w:t>93633/9789241509633_eng.pdf;jsessionid=9A9EB8</w:t>
              </w:r>
            </w:hyperlink>
          </w:p>
          <w:p>
            <w:pPr>
              <w:pStyle w:val="TableParagraph"/>
              <w:spacing w:line="201" w:lineRule="exact"/>
              <w:ind w:left="119"/>
              <w:rPr>
                <w:sz w:val="18"/>
              </w:rPr>
            </w:pPr>
            <w:hyperlink r:id="rId332">
              <w:r>
                <w:rPr>
                  <w:color w:val="0462C1"/>
                  <w:sz w:val="18"/>
                </w:rPr>
                <w:t>86DC17658BF7FDF86758D7A9F9?sequence=1</w:t>
              </w:r>
            </w:hyperlink>
          </w:p>
        </w:tc>
        <w:tc>
          <w:tcPr>
            <w:tcW w:w="3319" w:type="dxa"/>
            <w:tcBorders>
              <w:right w:val="single" w:sz="12" w:space="0" w:color="000000"/>
            </w:tcBorders>
          </w:tcPr>
          <w:p>
            <w:pPr>
              <w:pStyle w:val="TableParagraph"/>
              <w:rPr>
                <w:rFonts w:ascii="Times New Roman"/>
                <w:sz w:val="18"/>
              </w:rPr>
            </w:pPr>
          </w:p>
        </w:tc>
      </w:tr>
      <w:tr>
        <w:trPr>
          <w:trHeight w:val="1878" w:hRule="atLeast"/>
        </w:trPr>
        <w:tc>
          <w:tcPr>
            <w:tcW w:w="1172" w:type="dxa"/>
            <w:tcBorders>
              <w:left w:val="single" w:sz="12" w:space="0" w:color="000000"/>
              <w:bottom w:val="single" w:sz="12" w:space="0" w:color="000000"/>
            </w:tcBorders>
          </w:tcPr>
          <w:p>
            <w:pPr>
              <w:pStyle w:val="TableParagraph"/>
              <w:ind w:left="1161" w:right="-58"/>
              <w:rPr>
                <w:rFonts w:ascii="Times New Roman"/>
                <w:sz w:val="20"/>
              </w:rPr>
            </w:pPr>
            <w:r>
              <w:rPr>
                <w:rFonts w:ascii="Times New Roman"/>
                <w:sz w:val="20"/>
              </w:rPr>
              <w:drawing>
                <wp:inline distT="0" distB="0" distL="0" distR="0">
                  <wp:extent cx="5968" cy="1168431"/>
                  <wp:effectExtent l="0" t="0" r="0" b="0"/>
                  <wp:docPr id="61" name="image244.png" descr=""/>
                  <wp:cNvGraphicFramePr>
                    <a:graphicFrameLocks noChangeAspect="1"/>
                  </wp:cNvGraphicFramePr>
                  <a:graphic>
                    <a:graphicData uri="http://schemas.openxmlformats.org/drawingml/2006/picture">
                      <pic:pic>
                        <pic:nvPicPr>
                          <pic:cNvPr id="62" name="image244.png"/>
                          <pic:cNvPicPr/>
                        </pic:nvPicPr>
                        <pic:blipFill>
                          <a:blip r:embed="rId333" cstate="print"/>
                          <a:stretch>
                            <a:fillRect/>
                          </a:stretch>
                        </pic:blipFill>
                        <pic:spPr>
                          <a:xfrm>
                            <a:off x="0" y="0"/>
                            <a:ext cx="5968" cy="1168431"/>
                          </a:xfrm>
                          <a:prstGeom prst="rect">
                            <a:avLst/>
                          </a:prstGeom>
                        </pic:spPr>
                      </pic:pic>
                    </a:graphicData>
                  </a:graphic>
                </wp:inline>
              </w:drawing>
            </w:r>
            <w:r>
              <w:rPr>
                <w:rFonts w:ascii="Times New Roman"/>
                <w:sz w:val="20"/>
              </w:rPr>
            </w:r>
          </w:p>
        </w:tc>
        <w:tc>
          <w:tcPr>
            <w:tcW w:w="1412" w:type="dxa"/>
            <w:tcBorders>
              <w:top w:val="single" w:sz="4" w:space="0" w:color="000000"/>
              <w:bottom w:val="single" w:sz="12" w:space="0" w:color="000000"/>
            </w:tcBorders>
          </w:tcPr>
          <w:p>
            <w:pPr>
              <w:pStyle w:val="TableParagraph"/>
              <w:ind w:left="117" w:right="608"/>
              <w:rPr>
                <w:sz w:val="18"/>
              </w:rPr>
            </w:pPr>
            <w:r>
              <w:rPr>
                <w:sz w:val="18"/>
              </w:rPr>
              <w:t>Immune response</w:t>
            </w:r>
          </w:p>
        </w:tc>
        <w:tc>
          <w:tcPr>
            <w:tcW w:w="1701" w:type="dxa"/>
            <w:tcBorders>
              <w:top w:val="single" w:sz="4" w:space="0" w:color="000000"/>
              <w:bottom w:val="single" w:sz="12" w:space="0" w:color="000000"/>
            </w:tcBorders>
          </w:tcPr>
          <w:p>
            <w:pPr>
              <w:pStyle w:val="TableParagraph"/>
              <w:ind w:left="121" w:right="124"/>
              <w:rPr>
                <w:sz w:val="18"/>
              </w:rPr>
            </w:pPr>
            <w:r>
              <w:rPr>
                <w:sz w:val="18"/>
              </w:rPr>
              <w:t>For the diagnosis of latent TB infection</w:t>
            </w:r>
          </w:p>
        </w:tc>
        <w:tc>
          <w:tcPr>
            <w:tcW w:w="1414" w:type="dxa"/>
            <w:tcBorders>
              <w:top w:val="single" w:sz="4" w:space="0" w:color="000000"/>
              <w:bottom w:val="single" w:sz="12" w:space="0" w:color="000000"/>
            </w:tcBorders>
          </w:tcPr>
          <w:p>
            <w:pPr>
              <w:pStyle w:val="TableParagraph"/>
              <w:spacing w:line="219" w:lineRule="exact"/>
              <w:ind w:left="122"/>
              <w:rPr>
                <w:sz w:val="18"/>
              </w:rPr>
            </w:pPr>
            <w:r>
              <w:rPr>
                <w:sz w:val="18"/>
              </w:rPr>
              <w:t>IGRA</w:t>
            </w:r>
          </w:p>
        </w:tc>
        <w:tc>
          <w:tcPr>
            <w:tcW w:w="1368" w:type="dxa"/>
            <w:tcBorders>
              <w:top w:val="single" w:sz="4" w:space="0" w:color="000000"/>
              <w:bottom w:val="single" w:sz="12" w:space="0" w:color="000000"/>
            </w:tcBorders>
          </w:tcPr>
          <w:p>
            <w:pPr>
              <w:pStyle w:val="TableParagraph"/>
              <w:ind w:left="122" w:right="190"/>
              <w:rPr>
                <w:sz w:val="18"/>
              </w:rPr>
            </w:pPr>
            <w:r>
              <w:rPr>
                <w:sz w:val="18"/>
              </w:rPr>
              <w:t>Venous whole blood</w:t>
            </w:r>
          </w:p>
        </w:tc>
        <w:tc>
          <w:tcPr>
            <w:tcW w:w="4052" w:type="dxa"/>
            <w:tcBorders>
              <w:top w:val="single" w:sz="4" w:space="0" w:color="000000"/>
              <w:bottom w:val="single" w:sz="12" w:space="0" w:color="000000"/>
            </w:tcBorders>
          </w:tcPr>
          <w:p>
            <w:pPr>
              <w:pStyle w:val="TableParagraph"/>
              <w:ind w:left="119" w:right="163"/>
              <w:rPr>
                <w:sz w:val="18"/>
              </w:rPr>
            </w:pPr>
            <w:r>
              <w:rPr>
                <w:sz w:val="18"/>
              </w:rPr>
              <w:t>Latent TB Infection: Updated and consolidated guidelines for programmatic management (2018) </w:t>
            </w:r>
            <w:hyperlink r:id="rId120">
              <w:r>
                <w:rPr>
                  <w:color w:val="0462C1"/>
                  <w:sz w:val="18"/>
                  <w:u w:val="single" w:color="0462C1"/>
                </w:rPr>
                <w:t>http://apps.who.int/iris/bitstream/handle/10665/2</w:t>
              </w:r>
            </w:hyperlink>
            <w:r>
              <w:rPr>
                <w:color w:val="0462C1"/>
                <w:sz w:val="18"/>
              </w:rPr>
              <w:t> </w:t>
            </w:r>
            <w:hyperlink r:id="rId120">
              <w:r>
                <w:rPr>
                  <w:color w:val="0462C1"/>
                  <w:sz w:val="18"/>
                  <w:u w:val="single" w:color="0462C1"/>
                </w:rPr>
                <w:t>60233/9789241550239-</w:t>
              </w:r>
            </w:hyperlink>
          </w:p>
          <w:p>
            <w:pPr>
              <w:pStyle w:val="TableParagraph"/>
              <w:ind w:left="119" w:right="88"/>
              <w:rPr>
                <w:sz w:val="18"/>
              </w:rPr>
            </w:pPr>
            <w:hyperlink r:id="rId120">
              <w:r>
                <w:rPr>
                  <w:color w:val="0462C1"/>
                  <w:sz w:val="18"/>
                  <w:u w:val="single" w:color="0462C1"/>
                </w:rPr>
                <w:t>eng.pdf;jsessionid=6D1BB246312B378ACFEBF9BFFA</w:t>
              </w:r>
            </w:hyperlink>
            <w:r>
              <w:rPr>
                <w:color w:val="0462C1"/>
                <w:sz w:val="18"/>
              </w:rPr>
              <w:t> </w:t>
            </w:r>
            <w:hyperlink r:id="rId120">
              <w:r>
                <w:rPr>
                  <w:color w:val="0462C1"/>
                  <w:sz w:val="18"/>
                  <w:u w:val="single" w:color="0462C1"/>
                </w:rPr>
                <w:t>FEB0ED?sequence=1</w:t>
              </w:r>
            </w:hyperlink>
          </w:p>
        </w:tc>
        <w:tc>
          <w:tcPr>
            <w:tcW w:w="3319" w:type="dxa"/>
            <w:tcBorders>
              <w:bottom w:val="single" w:sz="12" w:space="0" w:color="000000"/>
              <w:right w:val="single" w:sz="12" w:space="0" w:color="000000"/>
            </w:tcBorders>
          </w:tcPr>
          <w:p>
            <w:pPr>
              <w:pStyle w:val="TableParagraph"/>
              <w:rPr>
                <w:rFonts w:ascii="Times New Roman"/>
                <w:sz w:val="18"/>
              </w:rPr>
            </w:pPr>
          </w:p>
        </w:tc>
      </w:tr>
    </w:tbl>
    <w:p>
      <w:pPr>
        <w:spacing w:after="0"/>
        <w:rPr>
          <w:rFonts w:ascii="Times New Roman"/>
          <w:sz w:val="18"/>
        </w:rPr>
        <w:sectPr>
          <w:headerReference w:type="default" r:id="rId322"/>
          <w:footerReference w:type="default" r:id="rId323"/>
          <w:pgSz w:w="16840" w:h="11910" w:orient="landscape"/>
          <w:pgMar w:header="0" w:footer="495" w:top="1100" w:bottom="680" w:left="1180" w:right="920"/>
          <w:pgNumType w:start="26"/>
        </w:sectPr>
      </w:pPr>
    </w:p>
    <w:p>
      <w:pPr>
        <w:pStyle w:val="BodyText"/>
        <w:rPr>
          <w:rFonts w:ascii="Times New Roman"/>
          <w:sz w:val="29"/>
        </w:rPr>
      </w:pPr>
      <w:r>
        <w:rPr/>
        <w:pict>
          <v:group style="position:absolute;margin-left:123.739998pt;margin-top:98.420006pt;width:.5pt;height:289.05pt;mso-position-horizontal-relative:page;mso-position-vertical-relative:page;z-index:-121504" coordorigin="2475,1968" coordsize="10,5781">
            <v:shape style="position:absolute;left:2474;top:1968;width:10;height:447" type="#_x0000_t75" stroked="false">
              <v:imagedata r:id="rId155" o:title=""/>
            </v:shape>
            <v:shape style="position:absolute;left:2474;top:2414;width:10;height:10" type="#_x0000_t75" stroked="false">
              <v:imagedata r:id="rId314" o:title=""/>
            </v:shape>
            <v:shape style="position:absolute;left:2474;top:2424;width:10;height:1098" type="#_x0000_t75" stroked="false">
              <v:imagedata r:id="rId336" o:title=""/>
            </v:shape>
            <v:shape style="position:absolute;left:2474;top:3521;width:10;height:10" type="#_x0000_t75" stroked="false">
              <v:imagedata r:id="rId314" o:title=""/>
            </v:shape>
            <v:shape style="position:absolute;left:2474;top:3531;width:10;height:2898" type="#_x0000_t75" stroked="false">
              <v:imagedata r:id="rId337" o:title=""/>
            </v:shape>
            <v:shape style="position:absolute;left:2474;top:6428;width:10;height:1321" type="#_x0000_t75" stroked="false">
              <v:imagedata r:id="rId338" o:title=""/>
            </v:shape>
            <w10:wrap type="none"/>
          </v:group>
        </w:pict>
      </w:r>
      <w:r>
        <w:rPr/>
        <w:pict>
          <v:group style="position:absolute;margin-left:193.220001pt;margin-top:98.420006pt;width:.5pt;height:289.05pt;mso-position-horizontal-relative:page;mso-position-vertical-relative:page;z-index:-121480" coordorigin="3864,1968" coordsize="10,5781">
            <v:shape style="position:absolute;left:3864;top:1968;width:10;height:447" type="#_x0000_t75" stroked="false">
              <v:imagedata r:id="rId155" o:title=""/>
            </v:shape>
            <v:shape style="position:absolute;left:3864;top:2414;width:10;height:10" type="#_x0000_t75" stroked="false">
              <v:imagedata r:id="rId314" o:title=""/>
            </v:shape>
            <v:shape style="position:absolute;left:3864;top:2424;width:10;height:1098" type="#_x0000_t75" stroked="false">
              <v:imagedata r:id="rId336" o:title=""/>
            </v:shape>
            <v:shape style="position:absolute;left:3864;top:3521;width:10;height:10" type="#_x0000_t75" stroked="false">
              <v:imagedata r:id="rId314" o:title=""/>
            </v:shape>
            <v:shape style="position:absolute;left:3864;top:3531;width:10;height:1788" type="#_x0000_t75" stroked="false">
              <v:imagedata r:id="rId339" o:title=""/>
            </v:shape>
            <v:shape style="position:absolute;left:3864;top:5326;width:10;height:1093" type="#_x0000_t75" stroked="false">
              <v:imagedata r:id="rId340" o:title=""/>
            </v:shape>
            <v:shape style="position:absolute;left:3864;top:6419;width:10;height:10" type="#_x0000_t75" stroked="false">
              <v:imagedata r:id="rId314" o:title=""/>
            </v:shape>
            <v:shape style="position:absolute;left:3864;top:6428;width:10;height:1321" type="#_x0000_t75" stroked="false">
              <v:imagedata r:id="rId338" o:title=""/>
            </v:shape>
            <w10:wrap type="none"/>
          </v:group>
        </w:pict>
      </w:r>
      <w:r>
        <w:rPr/>
        <w:pict>
          <v:group style="position:absolute;margin-left:285.410004pt;margin-top:98.420006pt;width:163.6pt;height:289.05pt;mso-position-horizontal-relative:page;mso-position-vertical-relative:page;z-index:-121456" coordorigin="5708,1968" coordsize="3272,5781">
            <v:shape style="position:absolute;left:7126;top:1968;width:10;height:447" type="#_x0000_t75" stroked="false">
              <v:imagedata r:id="rId155" o:title=""/>
            </v:shape>
            <v:shape style="position:absolute;left:7126;top:2414;width:10;height:10" type="#_x0000_t75" stroked="false">
              <v:imagedata r:id="rId314" o:title=""/>
            </v:shape>
            <v:shape style="position:absolute;left:7126;top:2424;width:10;height:1098" type="#_x0000_t75" stroked="false">
              <v:imagedata r:id="rId336" o:title=""/>
            </v:shape>
            <v:shape style="position:absolute;left:7126;top:3521;width:10;height:10" type="#_x0000_t75" stroked="false">
              <v:imagedata r:id="rId314" o:title=""/>
            </v:shape>
            <v:shape style="position:absolute;left:8970;top:1968;width:10;height:447" type="#_x0000_t75" stroked="false">
              <v:imagedata r:id="rId155" o:title=""/>
            </v:shape>
            <v:shape style="position:absolute;left:8970;top:2414;width:10;height:10" type="#_x0000_t75" stroked="false">
              <v:imagedata r:id="rId314" o:title=""/>
            </v:shape>
            <v:shape style="position:absolute;left:8970;top:2424;width:10;height:1098" type="#_x0000_t75" stroked="false">
              <v:imagedata r:id="rId336" o:title=""/>
            </v:shape>
            <v:shape style="position:absolute;left:8970;top:3521;width:10;height:10" type="#_x0000_t75" stroked="false">
              <v:imagedata r:id="rId314" o:title=""/>
            </v:shape>
            <v:shape style="position:absolute;left:5708;top:1968;width:10;height:456" type="#_x0000_t75" stroked="false">
              <v:imagedata r:id="rId254" o:title=""/>
            </v:shape>
            <v:shape style="position:absolute;left:5708;top:2424;width:10;height:1107" type="#_x0000_t75" stroked="false">
              <v:imagedata r:id="rId341" o:title=""/>
            </v:shape>
            <v:shape style="position:absolute;left:5708;top:3531;width:3272;height:1788" type="#_x0000_t75" stroked="false">
              <v:imagedata r:id="rId342" o:title=""/>
            </v:shape>
            <v:shape style="position:absolute;left:7126;top:5309;width:10;height:10" type="#_x0000_t75" stroked="false">
              <v:imagedata r:id="rId314" o:title=""/>
            </v:shape>
            <v:shape style="position:absolute;left:8970;top:5309;width:10;height:10" type="#_x0000_t75" stroked="false">
              <v:imagedata r:id="rId314" o:title=""/>
            </v:shape>
            <v:shape style="position:absolute;left:7126;top:5326;width:10;height:1093" type="#_x0000_t75" stroked="false">
              <v:imagedata r:id="rId340" o:title=""/>
            </v:shape>
            <v:shape style="position:absolute;left:8970;top:5326;width:10;height:1093" type="#_x0000_t75" stroked="false">
              <v:imagedata r:id="rId340" o:title=""/>
            </v:shape>
            <v:shape style="position:absolute;left:5708;top:5326;width:10;height:1102" type="#_x0000_t75" stroked="false">
              <v:imagedata r:id="rId343" o:title=""/>
            </v:shape>
            <v:shape style="position:absolute;left:7126;top:6419;width:10;height:10" type="#_x0000_t75" stroked="false">
              <v:imagedata r:id="rId314" o:title=""/>
            </v:shape>
            <v:shape style="position:absolute;left:8970;top:6419;width:10;height:10" type="#_x0000_t75" stroked="false">
              <v:imagedata r:id="rId314" o:title=""/>
            </v:shape>
            <v:shape style="position:absolute;left:5708;top:6428;width:10;height:1321" type="#_x0000_t75" stroked="false">
              <v:imagedata r:id="rId338" o:title=""/>
            </v:shape>
            <v:shape style="position:absolute;left:7126;top:6428;width:10;height:1321" type="#_x0000_t75" stroked="false">
              <v:imagedata r:id="rId338" o:title=""/>
            </v:shape>
            <v:shape style="position:absolute;left:8970;top:6428;width:10;height:1321" type="#_x0000_t75" stroked="false">
              <v:imagedata r:id="rId338" o:title=""/>
            </v:shape>
            <w10:wrap type="none"/>
          </v:group>
        </w:pict>
      </w:r>
      <w:r>
        <w:rPr/>
        <w:pict>
          <v:line style="position:absolute;mso-position-horizontal-relative:page;mso-position-vertical-relative:page;z-index:-121432" from="631.299988pt,319.809998pt" to="732.119988pt,319.809998pt" stroked="true" strokeweight=".600010pt" strokecolor="#0462c1">
            <v:stroke dashstyle="solid"/>
            <w10:wrap type="none"/>
          </v:line>
        </w:pict>
      </w:r>
      <w:r>
        <w:rPr/>
        <w:drawing>
          <wp:anchor distT="0" distB="0" distL="0" distR="0" allowOverlap="1" layoutInCell="1" locked="0" behindDoc="1" simplePos="0" relativeHeight="268314047">
            <wp:simplePos x="0" y="0"/>
            <wp:positionH relativeFrom="page">
              <wp:posOffset>7945881</wp:posOffset>
            </wp:positionH>
            <wp:positionV relativeFrom="page">
              <wp:posOffset>1249934</wp:posOffset>
            </wp:positionV>
            <wp:extent cx="6096" cy="3671316"/>
            <wp:effectExtent l="0" t="0" r="0" b="0"/>
            <wp:wrapNone/>
            <wp:docPr id="63" name="image253.png" descr=""/>
            <wp:cNvGraphicFramePr>
              <a:graphicFrameLocks noChangeAspect="1"/>
            </wp:cNvGraphicFramePr>
            <a:graphic>
              <a:graphicData uri="http://schemas.openxmlformats.org/drawingml/2006/picture">
                <pic:pic>
                  <pic:nvPicPr>
                    <pic:cNvPr id="64" name="image253.png"/>
                    <pic:cNvPicPr/>
                  </pic:nvPicPr>
                  <pic:blipFill>
                    <a:blip r:embed="rId344" cstate="print"/>
                    <a:stretch>
                      <a:fillRect/>
                    </a:stretch>
                  </pic:blipFill>
                  <pic:spPr>
                    <a:xfrm>
                      <a:off x="0" y="0"/>
                      <a:ext cx="6096" cy="3671316"/>
                    </a:xfrm>
                    <a:prstGeom prst="rect">
                      <a:avLst/>
                    </a:prstGeom>
                  </pic:spPr>
                </pic:pic>
              </a:graphicData>
            </a:graphic>
          </wp:anchor>
        </w:drawing>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3"/>
        <w:gridCol w:w="1387"/>
        <w:gridCol w:w="1837"/>
        <w:gridCol w:w="1418"/>
        <w:gridCol w:w="1843"/>
        <w:gridCol w:w="3542"/>
        <w:gridCol w:w="3262"/>
      </w:tblGrid>
      <w:tr>
        <w:trPr>
          <w:trHeight w:val="488" w:hRule="atLeast"/>
        </w:trPr>
        <w:tc>
          <w:tcPr>
            <w:tcW w:w="14432" w:type="dxa"/>
            <w:gridSpan w:val="7"/>
            <w:tcBorders>
              <w:top w:val="single" w:sz="12" w:space="0" w:color="000000"/>
              <w:left w:val="single" w:sz="12" w:space="0" w:color="000000"/>
              <w:bottom w:val="single" w:sz="4" w:space="0" w:color="000000"/>
              <w:right w:val="single" w:sz="12" w:space="0" w:color="000000"/>
            </w:tcBorders>
            <w:shd w:val="clear" w:color="auto" w:fill="E7E6E6"/>
          </w:tcPr>
          <w:p>
            <w:pPr>
              <w:pStyle w:val="TableParagraph"/>
              <w:spacing w:before="1"/>
              <w:ind w:left="107"/>
              <w:rPr>
                <w:b/>
                <w:sz w:val="24"/>
              </w:rPr>
            </w:pPr>
            <w:r>
              <w:rPr>
                <w:b/>
                <w:sz w:val="22"/>
              </w:rPr>
              <w:t>II.b </w:t>
            </w:r>
            <w:r>
              <w:rPr>
                <w:b/>
                <w:sz w:val="24"/>
              </w:rPr>
              <w:t>Disease-specific IVDs for health care facilities with clinical laboratories</w:t>
            </w:r>
          </w:p>
        </w:tc>
      </w:tr>
      <w:tr>
        <w:trPr>
          <w:trHeight w:val="445" w:hRule="atLeast"/>
        </w:trPr>
        <w:tc>
          <w:tcPr>
            <w:tcW w:w="1143" w:type="dxa"/>
            <w:tcBorders>
              <w:top w:val="single" w:sz="4" w:space="0" w:color="000000"/>
              <w:left w:val="single" w:sz="12" w:space="0" w:color="000000"/>
              <w:bottom w:val="single" w:sz="4" w:space="0" w:color="000000"/>
            </w:tcBorders>
            <w:shd w:val="clear" w:color="auto" w:fill="E7E6E6"/>
          </w:tcPr>
          <w:p>
            <w:pPr>
              <w:pStyle w:val="TableParagraph"/>
              <w:rPr>
                <w:rFonts w:ascii="Times New Roman"/>
                <w:sz w:val="18"/>
              </w:rPr>
            </w:pPr>
          </w:p>
        </w:tc>
        <w:tc>
          <w:tcPr>
            <w:tcW w:w="1387" w:type="dxa"/>
            <w:tcBorders>
              <w:top w:val="single" w:sz="4" w:space="0" w:color="000000"/>
              <w:bottom w:val="single" w:sz="4" w:space="0" w:color="000000"/>
            </w:tcBorders>
            <w:shd w:val="clear" w:color="auto" w:fill="E7E6E6"/>
          </w:tcPr>
          <w:p>
            <w:pPr>
              <w:pStyle w:val="TableParagraph"/>
              <w:spacing w:line="194" w:lineRule="exact"/>
              <w:ind w:left="117"/>
              <w:rPr>
                <w:b/>
                <w:sz w:val="16"/>
              </w:rPr>
            </w:pPr>
            <w:r>
              <w:rPr>
                <w:b/>
                <w:sz w:val="16"/>
              </w:rPr>
              <w:t>Diagnostic test</w:t>
            </w:r>
          </w:p>
        </w:tc>
        <w:tc>
          <w:tcPr>
            <w:tcW w:w="1837" w:type="dxa"/>
            <w:tcBorders>
              <w:top w:val="single" w:sz="4" w:space="0" w:color="000000"/>
              <w:bottom w:val="single" w:sz="4" w:space="0" w:color="000000"/>
            </w:tcBorders>
            <w:shd w:val="clear" w:color="auto" w:fill="E7E6E6"/>
          </w:tcPr>
          <w:p>
            <w:pPr>
              <w:pStyle w:val="TableParagraph"/>
              <w:spacing w:line="194" w:lineRule="exact"/>
              <w:ind w:left="120"/>
              <w:rPr>
                <w:b/>
                <w:sz w:val="16"/>
              </w:rPr>
            </w:pPr>
            <w:r>
              <w:rPr>
                <w:b/>
                <w:sz w:val="16"/>
              </w:rPr>
              <w:t>Test purpose</w:t>
            </w:r>
          </w:p>
        </w:tc>
        <w:tc>
          <w:tcPr>
            <w:tcW w:w="1418" w:type="dxa"/>
            <w:tcBorders>
              <w:top w:val="single" w:sz="4" w:space="0" w:color="000000"/>
              <w:bottom w:val="single" w:sz="4" w:space="0" w:color="000000"/>
            </w:tcBorders>
            <w:shd w:val="clear" w:color="auto" w:fill="E7E6E6"/>
          </w:tcPr>
          <w:p>
            <w:pPr>
              <w:pStyle w:val="TableParagraph"/>
              <w:spacing w:line="194" w:lineRule="exact"/>
              <w:ind w:left="126"/>
              <w:rPr>
                <w:b/>
                <w:sz w:val="16"/>
              </w:rPr>
            </w:pPr>
            <w:r>
              <w:rPr>
                <w:b/>
                <w:sz w:val="16"/>
              </w:rPr>
              <w:t>Assay format</w:t>
            </w:r>
          </w:p>
        </w:tc>
        <w:tc>
          <w:tcPr>
            <w:tcW w:w="1843" w:type="dxa"/>
            <w:tcBorders>
              <w:top w:val="single" w:sz="4" w:space="0" w:color="000000"/>
              <w:bottom w:val="single" w:sz="4" w:space="0" w:color="000000"/>
            </w:tcBorders>
            <w:shd w:val="clear" w:color="auto" w:fill="E7E6E6"/>
          </w:tcPr>
          <w:p>
            <w:pPr>
              <w:pStyle w:val="TableParagraph"/>
              <w:spacing w:line="194" w:lineRule="exact"/>
              <w:ind w:left="127"/>
              <w:rPr>
                <w:b/>
                <w:sz w:val="16"/>
              </w:rPr>
            </w:pPr>
            <w:r>
              <w:rPr>
                <w:b/>
                <w:sz w:val="16"/>
              </w:rPr>
              <w:t>Specimen type</w:t>
            </w:r>
          </w:p>
        </w:tc>
        <w:tc>
          <w:tcPr>
            <w:tcW w:w="3542" w:type="dxa"/>
            <w:tcBorders>
              <w:top w:val="single" w:sz="4" w:space="0" w:color="000000"/>
              <w:bottom w:val="single" w:sz="4" w:space="0" w:color="000000"/>
            </w:tcBorders>
            <w:shd w:val="clear" w:color="auto" w:fill="E7E6E6"/>
          </w:tcPr>
          <w:p>
            <w:pPr>
              <w:pStyle w:val="TableParagraph"/>
              <w:spacing w:line="194" w:lineRule="exact"/>
              <w:ind w:left="127"/>
              <w:rPr>
                <w:b/>
                <w:sz w:val="16"/>
              </w:rPr>
            </w:pPr>
            <w:r>
              <w:rPr>
                <w:b/>
                <w:sz w:val="16"/>
              </w:rPr>
              <w:t>WHO prequalified or endorsed products</w:t>
            </w:r>
          </w:p>
        </w:tc>
        <w:tc>
          <w:tcPr>
            <w:tcW w:w="3262" w:type="dxa"/>
            <w:tcBorders>
              <w:top w:val="single" w:sz="4" w:space="0" w:color="000000"/>
              <w:bottom w:val="single" w:sz="4" w:space="0" w:color="000000"/>
              <w:right w:val="single" w:sz="12" w:space="0" w:color="000000"/>
            </w:tcBorders>
            <w:shd w:val="clear" w:color="auto" w:fill="E7E6E6"/>
          </w:tcPr>
          <w:p>
            <w:pPr>
              <w:pStyle w:val="TableParagraph"/>
              <w:spacing w:line="194" w:lineRule="exact"/>
              <w:ind w:left="128"/>
              <w:rPr>
                <w:b/>
                <w:sz w:val="16"/>
              </w:rPr>
            </w:pPr>
            <w:r>
              <w:rPr>
                <w:b/>
                <w:sz w:val="16"/>
              </w:rPr>
              <w:t>WHO supporting documents</w:t>
            </w:r>
          </w:p>
        </w:tc>
      </w:tr>
      <w:tr>
        <w:trPr>
          <w:trHeight w:val="1096" w:hRule="atLeast"/>
        </w:trPr>
        <w:tc>
          <w:tcPr>
            <w:tcW w:w="1143" w:type="dxa"/>
            <w:tcBorders>
              <w:top w:val="single" w:sz="4" w:space="0" w:color="000000"/>
              <w:left w:val="single" w:sz="12" w:space="0" w:color="000000"/>
              <w:bottom w:val="single" w:sz="4" w:space="0" w:color="000000"/>
            </w:tcBorders>
          </w:tcPr>
          <w:p>
            <w:pPr>
              <w:pStyle w:val="TableParagraph"/>
              <w:spacing w:line="219" w:lineRule="exact"/>
              <w:ind w:left="107"/>
              <w:rPr>
                <w:sz w:val="18"/>
              </w:rPr>
            </w:pPr>
            <w:r>
              <w:rPr>
                <w:sz w:val="18"/>
              </w:rPr>
              <w:t>HPV</w:t>
            </w:r>
          </w:p>
        </w:tc>
        <w:tc>
          <w:tcPr>
            <w:tcW w:w="1387" w:type="dxa"/>
            <w:tcBorders>
              <w:top w:val="single" w:sz="4" w:space="0" w:color="000000"/>
              <w:bottom w:val="single" w:sz="4" w:space="0" w:color="000000"/>
            </w:tcBorders>
          </w:tcPr>
          <w:p>
            <w:pPr>
              <w:pStyle w:val="TableParagraph"/>
              <w:ind w:left="117" w:right="175"/>
              <w:rPr>
                <w:sz w:val="18"/>
              </w:rPr>
            </w:pPr>
            <w:r>
              <w:rPr>
                <w:sz w:val="18"/>
              </w:rPr>
              <w:t>Human papillomavirus (HPV) DNA</w:t>
            </w:r>
          </w:p>
        </w:tc>
        <w:tc>
          <w:tcPr>
            <w:tcW w:w="1837" w:type="dxa"/>
            <w:tcBorders>
              <w:top w:val="single" w:sz="4" w:space="0" w:color="000000"/>
              <w:bottom w:val="single" w:sz="4" w:space="0" w:color="000000"/>
            </w:tcBorders>
          </w:tcPr>
          <w:p>
            <w:pPr>
              <w:pStyle w:val="TableParagraph"/>
              <w:ind w:left="120" w:right="335"/>
              <w:rPr>
                <w:sz w:val="18"/>
              </w:rPr>
            </w:pPr>
            <w:r>
              <w:rPr>
                <w:sz w:val="18"/>
              </w:rPr>
              <w:t>For cervical cancer screening</w:t>
            </w:r>
          </w:p>
        </w:tc>
        <w:tc>
          <w:tcPr>
            <w:tcW w:w="1418" w:type="dxa"/>
            <w:tcBorders>
              <w:top w:val="single" w:sz="4" w:space="0" w:color="000000"/>
              <w:bottom w:val="single" w:sz="4" w:space="0" w:color="000000"/>
            </w:tcBorders>
          </w:tcPr>
          <w:p>
            <w:pPr>
              <w:pStyle w:val="TableParagraph"/>
              <w:spacing w:line="219" w:lineRule="exact"/>
              <w:ind w:left="126"/>
              <w:rPr>
                <w:sz w:val="18"/>
              </w:rPr>
            </w:pPr>
            <w:r>
              <w:rPr>
                <w:sz w:val="18"/>
              </w:rPr>
              <w:t>Nucleic acid test</w:t>
            </w:r>
          </w:p>
        </w:tc>
        <w:tc>
          <w:tcPr>
            <w:tcW w:w="1843" w:type="dxa"/>
            <w:tcBorders>
              <w:top w:val="single" w:sz="4" w:space="0" w:color="000000"/>
              <w:bottom w:val="single" w:sz="4" w:space="0" w:color="000000"/>
            </w:tcBorders>
          </w:tcPr>
          <w:p>
            <w:pPr>
              <w:pStyle w:val="TableParagraph"/>
              <w:ind w:left="127" w:right="424"/>
              <w:rPr>
                <w:sz w:val="18"/>
              </w:rPr>
            </w:pPr>
            <w:r>
              <w:rPr>
                <w:sz w:val="18"/>
              </w:rPr>
              <w:t>Cervical cells collected in test specific transport fluid</w:t>
            </w:r>
          </w:p>
        </w:tc>
        <w:tc>
          <w:tcPr>
            <w:tcW w:w="3542" w:type="dxa"/>
            <w:tcBorders>
              <w:top w:val="single" w:sz="4" w:space="0" w:color="000000"/>
              <w:bottom w:val="single" w:sz="4" w:space="0" w:color="000000"/>
            </w:tcBorders>
          </w:tcPr>
          <w:p>
            <w:pPr>
              <w:pStyle w:val="TableParagraph"/>
              <w:ind w:left="127" w:right="115"/>
              <w:rPr>
                <w:sz w:val="18"/>
              </w:rPr>
            </w:pPr>
            <w:hyperlink r:id="rId345">
              <w:r>
                <w:rPr>
                  <w:color w:val="0462C1"/>
                  <w:sz w:val="18"/>
                  <w:u w:val="single" w:color="0462C1"/>
                </w:rPr>
                <w:t>http://www.who.int/diagnostics_laboratory/</w:t>
              </w:r>
            </w:hyperlink>
            <w:r>
              <w:rPr>
                <w:color w:val="0462C1"/>
                <w:sz w:val="18"/>
              </w:rPr>
              <w:t> </w:t>
            </w:r>
            <w:hyperlink r:id="rId345">
              <w:r>
                <w:rPr>
                  <w:color w:val="0462C1"/>
                  <w:sz w:val="18"/>
                  <w:u w:val="single" w:color="0462C1"/>
                </w:rPr>
                <w:t>evaluations/pq-list/public_report_hpv/en/</w:t>
              </w:r>
            </w:hyperlink>
          </w:p>
        </w:tc>
        <w:tc>
          <w:tcPr>
            <w:tcW w:w="3262" w:type="dxa"/>
            <w:tcBorders>
              <w:top w:val="single" w:sz="4" w:space="0" w:color="000000"/>
              <w:bottom w:val="single" w:sz="4" w:space="0" w:color="000000"/>
              <w:right w:val="single" w:sz="12" w:space="0" w:color="000000"/>
            </w:tcBorders>
          </w:tcPr>
          <w:p>
            <w:pPr>
              <w:pStyle w:val="TableParagraph"/>
              <w:ind w:left="128"/>
              <w:rPr>
                <w:sz w:val="18"/>
              </w:rPr>
            </w:pPr>
            <w:r>
              <w:rPr>
                <w:sz w:val="18"/>
              </w:rPr>
              <w:t>WHO human papillomavirus laboratory manual, first edition (2009) </w:t>
            </w:r>
            <w:hyperlink r:id="rId346">
              <w:r>
                <w:rPr>
                  <w:color w:val="0462C1"/>
                  <w:sz w:val="18"/>
                  <w:u w:val="single" w:color="0462C1"/>
                </w:rPr>
                <w:t>http://apps.who.int/iris/bitstream/handl</w:t>
              </w:r>
            </w:hyperlink>
            <w:r>
              <w:rPr>
                <w:color w:val="0462C1"/>
                <w:sz w:val="18"/>
              </w:rPr>
              <w:t> </w:t>
            </w:r>
            <w:hyperlink r:id="rId346">
              <w:r>
                <w:rPr>
                  <w:color w:val="0462C1"/>
                  <w:sz w:val="18"/>
                  <w:u w:val="single" w:color="0462C1"/>
                </w:rPr>
                <w:t>e/10665/70505/WHO_IVB_10.12_eng.pd</w:t>
              </w:r>
            </w:hyperlink>
          </w:p>
          <w:p>
            <w:pPr>
              <w:pStyle w:val="TableParagraph"/>
              <w:spacing w:line="199" w:lineRule="exact"/>
              <w:ind w:left="128"/>
              <w:rPr>
                <w:sz w:val="18"/>
              </w:rPr>
            </w:pPr>
            <w:hyperlink r:id="rId346">
              <w:r>
                <w:rPr>
                  <w:color w:val="0462C1"/>
                  <w:sz w:val="18"/>
                  <w:u w:val="single" w:color="0462C1"/>
                </w:rPr>
                <w:t>f?sequence=1</w:t>
              </w:r>
            </w:hyperlink>
          </w:p>
        </w:tc>
      </w:tr>
      <w:tr>
        <w:trPr>
          <w:trHeight w:val="665" w:hRule="atLeast"/>
        </w:trPr>
        <w:tc>
          <w:tcPr>
            <w:tcW w:w="1143" w:type="dxa"/>
            <w:vMerge w:val="restart"/>
            <w:tcBorders>
              <w:top w:val="single" w:sz="4" w:space="0" w:color="000000"/>
              <w:left w:val="single" w:sz="12" w:space="0" w:color="000000"/>
              <w:bottom w:val="single" w:sz="12" w:space="0" w:color="000000"/>
            </w:tcBorders>
          </w:tcPr>
          <w:p>
            <w:pPr>
              <w:pStyle w:val="TableParagraph"/>
              <w:spacing w:before="1"/>
              <w:ind w:left="107"/>
              <w:rPr>
                <w:sz w:val="18"/>
              </w:rPr>
            </w:pPr>
            <w:r>
              <w:rPr>
                <w:sz w:val="18"/>
              </w:rPr>
              <w:t>Syphilis</w:t>
            </w:r>
          </w:p>
        </w:tc>
        <w:tc>
          <w:tcPr>
            <w:tcW w:w="1387" w:type="dxa"/>
            <w:vMerge w:val="restart"/>
            <w:tcBorders>
              <w:top w:val="single" w:sz="4" w:space="0" w:color="000000"/>
              <w:bottom w:val="single" w:sz="4" w:space="0" w:color="000000"/>
            </w:tcBorders>
          </w:tcPr>
          <w:p>
            <w:pPr>
              <w:pStyle w:val="TableParagraph"/>
              <w:spacing w:before="1"/>
              <w:ind w:left="117"/>
              <w:rPr>
                <w:i/>
                <w:sz w:val="18"/>
              </w:rPr>
            </w:pPr>
            <w:r>
              <w:rPr>
                <w:sz w:val="18"/>
              </w:rPr>
              <w:t>Antibodies to </w:t>
            </w:r>
            <w:r>
              <w:rPr>
                <w:i/>
                <w:sz w:val="18"/>
              </w:rPr>
              <w:t>Treponema </w:t>
            </w:r>
            <w:r>
              <w:rPr>
                <w:i/>
                <w:sz w:val="18"/>
              </w:rPr>
              <w:t>pallidum</w:t>
            </w:r>
          </w:p>
        </w:tc>
        <w:tc>
          <w:tcPr>
            <w:tcW w:w="1837" w:type="dxa"/>
            <w:tcBorders>
              <w:top w:val="single" w:sz="4" w:space="0" w:color="000000"/>
            </w:tcBorders>
          </w:tcPr>
          <w:p>
            <w:pPr>
              <w:pStyle w:val="TableParagraph"/>
              <w:spacing w:before="1"/>
              <w:ind w:left="120" w:right="103"/>
              <w:rPr>
                <w:sz w:val="18"/>
              </w:rPr>
            </w:pPr>
            <w:r>
              <w:rPr>
                <w:sz w:val="18"/>
              </w:rPr>
              <w:t>For diagnosis or as an aid in the diagnosis of</w:t>
            </w:r>
          </w:p>
          <w:p>
            <w:pPr>
              <w:pStyle w:val="TableParagraph"/>
              <w:spacing w:line="205" w:lineRule="exact"/>
              <w:ind w:left="120"/>
              <w:rPr>
                <w:i/>
                <w:sz w:val="18"/>
              </w:rPr>
            </w:pPr>
            <w:r>
              <w:rPr>
                <w:i/>
                <w:sz w:val="18"/>
              </w:rPr>
              <w:t>T. pallidum</w:t>
            </w:r>
          </w:p>
        </w:tc>
        <w:tc>
          <w:tcPr>
            <w:tcW w:w="1418" w:type="dxa"/>
            <w:tcBorders>
              <w:top w:val="single" w:sz="4" w:space="0" w:color="000000"/>
            </w:tcBorders>
          </w:tcPr>
          <w:p>
            <w:pPr>
              <w:pStyle w:val="TableParagraph"/>
              <w:spacing w:before="1"/>
              <w:ind w:left="126"/>
              <w:rPr>
                <w:sz w:val="18"/>
              </w:rPr>
            </w:pPr>
            <w:r>
              <w:rPr>
                <w:sz w:val="18"/>
              </w:rPr>
              <w:t>RDT</w:t>
            </w:r>
          </w:p>
        </w:tc>
        <w:tc>
          <w:tcPr>
            <w:tcW w:w="1843" w:type="dxa"/>
            <w:tcBorders>
              <w:top w:val="single" w:sz="4" w:space="0" w:color="000000"/>
            </w:tcBorders>
          </w:tcPr>
          <w:p>
            <w:pPr>
              <w:pStyle w:val="TableParagraph"/>
              <w:spacing w:before="1"/>
              <w:ind w:left="127" w:right="199"/>
              <w:rPr>
                <w:sz w:val="18"/>
              </w:rPr>
            </w:pPr>
            <w:r>
              <w:rPr>
                <w:sz w:val="18"/>
              </w:rPr>
              <w:t>Venous whole blood Plasma</w:t>
            </w:r>
          </w:p>
          <w:p>
            <w:pPr>
              <w:pStyle w:val="TableParagraph"/>
              <w:spacing w:line="205" w:lineRule="exact"/>
              <w:ind w:left="127"/>
              <w:rPr>
                <w:sz w:val="18"/>
              </w:rPr>
            </w:pPr>
            <w:r>
              <w:rPr>
                <w:sz w:val="18"/>
              </w:rPr>
              <w:t>Serum</w:t>
            </w:r>
          </w:p>
        </w:tc>
        <w:tc>
          <w:tcPr>
            <w:tcW w:w="3542" w:type="dxa"/>
            <w:tcBorders>
              <w:top w:val="single" w:sz="4" w:space="0" w:color="000000"/>
            </w:tcBorders>
          </w:tcPr>
          <w:p>
            <w:pPr>
              <w:pStyle w:val="TableParagraph"/>
              <w:spacing w:before="1"/>
              <w:ind w:left="127" w:right="97"/>
              <w:rPr>
                <w:sz w:val="18"/>
              </w:rPr>
            </w:pPr>
            <w:hyperlink r:id="rId128">
              <w:r>
                <w:rPr>
                  <w:color w:val="0462C1"/>
                  <w:sz w:val="18"/>
                  <w:u w:val="single" w:color="0462C1"/>
                </w:rPr>
                <w:t>http://www.who.int/diagnostics_laboratory/</w:t>
              </w:r>
            </w:hyperlink>
            <w:r>
              <w:rPr>
                <w:color w:val="0462C1"/>
                <w:sz w:val="18"/>
              </w:rPr>
              <w:t> </w:t>
            </w:r>
            <w:hyperlink r:id="rId128">
              <w:r>
                <w:rPr>
                  <w:color w:val="0462C1"/>
                  <w:sz w:val="18"/>
                  <w:u w:val="single" w:color="0462C1"/>
                </w:rPr>
                <w:t>evaluations/PQ_list/en/</w:t>
              </w:r>
            </w:hyperlink>
          </w:p>
        </w:tc>
        <w:tc>
          <w:tcPr>
            <w:tcW w:w="3262" w:type="dxa"/>
            <w:vMerge w:val="restart"/>
            <w:tcBorders>
              <w:top w:val="single" w:sz="4" w:space="0" w:color="000000"/>
              <w:bottom w:val="single" w:sz="4" w:space="0" w:color="000000"/>
              <w:right w:val="single" w:sz="12" w:space="0" w:color="000000"/>
            </w:tcBorders>
          </w:tcPr>
          <w:p>
            <w:pPr>
              <w:pStyle w:val="TableParagraph"/>
              <w:spacing w:before="1"/>
              <w:ind w:left="128" w:right="106"/>
              <w:rPr>
                <w:sz w:val="18"/>
              </w:rPr>
            </w:pPr>
            <w:r>
              <w:rPr>
                <w:sz w:val="18"/>
              </w:rPr>
              <w:t>WHO laboratory diagnosis of sexually transmitted infections, including human immunodeficiency virus (2013) </w:t>
            </w:r>
            <w:hyperlink r:id="rId129">
              <w:r>
                <w:rPr>
                  <w:color w:val="0462C1"/>
                  <w:sz w:val="18"/>
                  <w:u w:val="single" w:color="0462C1"/>
                </w:rPr>
                <w:t>http://apps.who.int/iris/bitstream/handl</w:t>
              </w:r>
            </w:hyperlink>
            <w:r>
              <w:rPr>
                <w:color w:val="0462C1"/>
                <w:sz w:val="18"/>
              </w:rPr>
              <w:t> </w:t>
            </w:r>
            <w:hyperlink r:id="rId129">
              <w:r>
                <w:rPr>
                  <w:color w:val="0462C1"/>
                  <w:sz w:val="18"/>
                  <w:u w:val="single" w:color="0462C1"/>
                </w:rPr>
                <w:t>e/10665/85343/9789241505840_eng.pd</w:t>
              </w:r>
            </w:hyperlink>
          </w:p>
          <w:p>
            <w:pPr>
              <w:pStyle w:val="TableParagraph"/>
              <w:spacing w:line="218" w:lineRule="exact"/>
              <w:ind w:left="128"/>
              <w:rPr>
                <w:sz w:val="18"/>
              </w:rPr>
            </w:pPr>
            <w:hyperlink r:id="rId129">
              <w:r>
                <w:rPr>
                  <w:color w:val="0462C1"/>
                  <w:sz w:val="18"/>
                  <w:u w:val="single" w:color="0462C1"/>
                </w:rPr>
                <w:t>f?sequence=1</w:t>
              </w:r>
            </w:hyperlink>
          </w:p>
        </w:tc>
      </w:tr>
      <w:tr>
        <w:trPr>
          <w:trHeight w:val="420" w:hRule="atLeast"/>
        </w:trPr>
        <w:tc>
          <w:tcPr>
            <w:tcW w:w="1143" w:type="dxa"/>
            <w:vMerge/>
            <w:tcBorders>
              <w:top w:val="nil"/>
              <w:left w:val="single" w:sz="12" w:space="0" w:color="000000"/>
              <w:bottom w:val="single" w:sz="12" w:space="0" w:color="000000"/>
            </w:tcBorders>
          </w:tcPr>
          <w:p>
            <w:pPr>
              <w:rPr>
                <w:sz w:val="2"/>
                <w:szCs w:val="2"/>
              </w:rPr>
            </w:pPr>
          </w:p>
        </w:tc>
        <w:tc>
          <w:tcPr>
            <w:tcW w:w="1387" w:type="dxa"/>
            <w:vMerge/>
            <w:tcBorders>
              <w:top w:val="nil"/>
              <w:bottom w:val="single" w:sz="4" w:space="0" w:color="000000"/>
            </w:tcBorders>
          </w:tcPr>
          <w:p>
            <w:pPr>
              <w:rPr>
                <w:sz w:val="2"/>
                <w:szCs w:val="2"/>
              </w:rPr>
            </w:pPr>
          </w:p>
        </w:tc>
        <w:tc>
          <w:tcPr>
            <w:tcW w:w="1837" w:type="dxa"/>
          </w:tcPr>
          <w:p>
            <w:pPr>
              <w:pStyle w:val="TableParagraph"/>
              <w:rPr>
                <w:rFonts w:ascii="Times New Roman"/>
                <w:sz w:val="18"/>
              </w:rPr>
            </w:pPr>
          </w:p>
        </w:tc>
        <w:tc>
          <w:tcPr>
            <w:tcW w:w="1418" w:type="dxa"/>
          </w:tcPr>
          <w:p>
            <w:pPr>
              <w:pStyle w:val="TableParagraph"/>
              <w:spacing w:line="192" w:lineRule="exact"/>
              <w:ind w:left="126"/>
              <w:rPr>
                <w:sz w:val="18"/>
              </w:rPr>
            </w:pPr>
            <w:r>
              <w:rPr>
                <w:sz w:val="18"/>
              </w:rPr>
              <w:t>EIA</w:t>
            </w:r>
            <w:r>
              <w:rPr>
                <w:spacing w:val="-5"/>
                <w:sz w:val="18"/>
              </w:rPr>
              <w:t> </w:t>
            </w:r>
            <w:r>
              <w:rPr>
                <w:sz w:val="18"/>
              </w:rPr>
              <w:t>(Microplate)</w:t>
            </w:r>
          </w:p>
          <w:p>
            <w:pPr>
              <w:pStyle w:val="TableParagraph"/>
              <w:spacing w:line="207" w:lineRule="exact" w:before="1"/>
              <w:ind w:left="126"/>
              <w:rPr>
                <w:sz w:val="18"/>
              </w:rPr>
            </w:pPr>
            <w:r>
              <w:rPr>
                <w:sz w:val="18"/>
              </w:rPr>
              <w:t>Manual</w:t>
            </w:r>
            <w:r>
              <w:rPr>
                <w:spacing w:val="-5"/>
                <w:sz w:val="18"/>
              </w:rPr>
              <w:t> </w:t>
            </w:r>
            <w:r>
              <w:rPr>
                <w:sz w:val="18"/>
              </w:rPr>
              <w:t>method</w:t>
            </w:r>
          </w:p>
        </w:tc>
        <w:tc>
          <w:tcPr>
            <w:tcW w:w="1843" w:type="dxa"/>
          </w:tcPr>
          <w:p>
            <w:pPr>
              <w:pStyle w:val="TableParagraph"/>
              <w:spacing w:line="192" w:lineRule="exact"/>
              <w:ind w:left="127"/>
              <w:rPr>
                <w:sz w:val="18"/>
              </w:rPr>
            </w:pPr>
            <w:r>
              <w:rPr>
                <w:sz w:val="18"/>
              </w:rPr>
              <w:t>Serum</w:t>
            </w:r>
          </w:p>
          <w:p>
            <w:pPr>
              <w:pStyle w:val="TableParagraph"/>
              <w:spacing w:line="207" w:lineRule="exact" w:before="1"/>
              <w:ind w:left="127"/>
              <w:rPr>
                <w:sz w:val="18"/>
              </w:rPr>
            </w:pPr>
            <w:r>
              <w:rPr>
                <w:sz w:val="18"/>
              </w:rPr>
              <w:t>Plasma</w:t>
            </w:r>
          </w:p>
        </w:tc>
        <w:tc>
          <w:tcPr>
            <w:tcW w:w="3542" w:type="dxa"/>
          </w:tcPr>
          <w:p>
            <w:pPr>
              <w:pStyle w:val="TableParagraph"/>
              <w:rPr>
                <w:rFonts w:ascii="Times New Roman"/>
                <w:sz w:val="18"/>
              </w:rPr>
            </w:pPr>
          </w:p>
        </w:tc>
        <w:tc>
          <w:tcPr>
            <w:tcW w:w="3262" w:type="dxa"/>
            <w:vMerge/>
            <w:tcBorders>
              <w:top w:val="nil"/>
              <w:bottom w:val="single" w:sz="4" w:space="0" w:color="000000"/>
              <w:right w:val="single" w:sz="12" w:space="0" w:color="000000"/>
            </w:tcBorders>
          </w:tcPr>
          <w:p>
            <w:pPr>
              <w:rPr>
                <w:sz w:val="2"/>
                <w:szCs w:val="2"/>
              </w:rPr>
            </w:pPr>
          </w:p>
        </w:tc>
      </w:tr>
      <w:tr>
        <w:trPr>
          <w:trHeight w:val="622" w:hRule="atLeast"/>
        </w:trPr>
        <w:tc>
          <w:tcPr>
            <w:tcW w:w="1143" w:type="dxa"/>
            <w:vMerge/>
            <w:tcBorders>
              <w:top w:val="nil"/>
              <w:left w:val="single" w:sz="12" w:space="0" w:color="000000"/>
              <w:bottom w:val="single" w:sz="12" w:space="0" w:color="000000"/>
            </w:tcBorders>
          </w:tcPr>
          <w:p>
            <w:pPr>
              <w:rPr>
                <w:sz w:val="2"/>
                <w:szCs w:val="2"/>
              </w:rPr>
            </w:pPr>
          </w:p>
        </w:tc>
        <w:tc>
          <w:tcPr>
            <w:tcW w:w="1387" w:type="dxa"/>
            <w:vMerge/>
            <w:tcBorders>
              <w:top w:val="nil"/>
              <w:bottom w:val="single" w:sz="4" w:space="0" w:color="000000"/>
            </w:tcBorders>
          </w:tcPr>
          <w:p>
            <w:pPr>
              <w:rPr>
                <w:sz w:val="2"/>
                <w:szCs w:val="2"/>
              </w:rPr>
            </w:pPr>
          </w:p>
        </w:tc>
        <w:tc>
          <w:tcPr>
            <w:tcW w:w="1837" w:type="dxa"/>
            <w:tcBorders>
              <w:bottom w:val="single" w:sz="4" w:space="0" w:color="000000"/>
            </w:tcBorders>
          </w:tcPr>
          <w:p>
            <w:pPr>
              <w:pStyle w:val="TableParagraph"/>
              <w:rPr>
                <w:rFonts w:ascii="Times New Roman"/>
                <w:sz w:val="18"/>
              </w:rPr>
            </w:pPr>
          </w:p>
        </w:tc>
        <w:tc>
          <w:tcPr>
            <w:tcW w:w="1418" w:type="dxa"/>
            <w:tcBorders>
              <w:bottom w:val="single" w:sz="4" w:space="0" w:color="000000"/>
            </w:tcBorders>
          </w:tcPr>
          <w:p>
            <w:pPr>
              <w:pStyle w:val="TableParagraph"/>
              <w:spacing w:line="193" w:lineRule="exact"/>
              <w:ind w:left="126"/>
              <w:rPr>
                <w:sz w:val="18"/>
              </w:rPr>
            </w:pPr>
            <w:r>
              <w:rPr>
                <w:sz w:val="18"/>
              </w:rPr>
              <w:t>CLIA/ECL</w:t>
            </w:r>
          </w:p>
          <w:p>
            <w:pPr>
              <w:pStyle w:val="TableParagraph"/>
              <w:spacing w:line="219" w:lineRule="exact"/>
              <w:ind w:left="126"/>
              <w:rPr>
                <w:sz w:val="18"/>
              </w:rPr>
            </w:pPr>
            <w:r>
              <w:rPr>
                <w:sz w:val="18"/>
              </w:rPr>
              <w:t>(automated</w:t>
            </w:r>
          </w:p>
          <w:p>
            <w:pPr>
              <w:pStyle w:val="TableParagraph"/>
              <w:spacing w:line="189" w:lineRule="exact" w:before="1"/>
              <w:ind w:left="126"/>
              <w:rPr>
                <w:sz w:val="18"/>
              </w:rPr>
            </w:pPr>
            <w:r>
              <w:rPr>
                <w:sz w:val="18"/>
              </w:rPr>
              <w:t>instrument)</w:t>
            </w:r>
          </w:p>
        </w:tc>
        <w:tc>
          <w:tcPr>
            <w:tcW w:w="1843" w:type="dxa"/>
            <w:tcBorders>
              <w:bottom w:val="single" w:sz="4" w:space="0" w:color="000000"/>
            </w:tcBorders>
          </w:tcPr>
          <w:p>
            <w:pPr>
              <w:pStyle w:val="TableParagraph"/>
              <w:spacing w:line="193" w:lineRule="exact"/>
              <w:ind w:left="127"/>
              <w:rPr>
                <w:sz w:val="18"/>
              </w:rPr>
            </w:pPr>
            <w:r>
              <w:rPr>
                <w:sz w:val="18"/>
              </w:rPr>
              <w:t>Serum</w:t>
            </w:r>
          </w:p>
          <w:p>
            <w:pPr>
              <w:pStyle w:val="TableParagraph"/>
              <w:spacing w:line="219" w:lineRule="exact"/>
              <w:ind w:left="127"/>
              <w:rPr>
                <w:sz w:val="18"/>
              </w:rPr>
            </w:pPr>
            <w:r>
              <w:rPr>
                <w:sz w:val="18"/>
              </w:rPr>
              <w:t>Plasma</w:t>
            </w:r>
          </w:p>
        </w:tc>
        <w:tc>
          <w:tcPr>
            <w:tcW w:w="3542" w:type="dxa"/>
            <w:tcBorders>
              <w:bottom w:val="single" w:sz="4" w:space="0" w:color="000000"/>
            </w:tcBorders>
          </w:tcPr>
          <w:p>
            <w:pPr>
              <w:pStyle w:val="TableParagraph"/>
              <w:rPr>
                <w:rFonts w:ascii="Times New Roman"/>
                <w:sz w:val="18"/>
              </w:rPr>
            </w:pPr>
          </w:p>
        </w:tc>
        <w:tc>
          <w:tcPr>
            <w:tcW w:w="3262" w:type="dxa"/>
            <w:vMerge/>
            <w:tcBorders>
              <w:top w:val="nil"/>
              <w:bottom w:val="single" w:sz="4" w:space="0" w:color="000000"/>
              <w:right w:val="single" w:sz="12" w:space="0" w:color="000000"/>
            </w:tcBorders>
          </w:tcPr>
          <w:p>
            <w:pPr>
              <w:rPr>
                <w:sz w:val="2"/>
                <w:szCs w:val="2"/>
              </w:rPr>
            </w:pPr>
          </w:p>
        </w:tc>
      </w:tr>
      <w:tr>
        <w:trPr>
          <w:trHeight w:val="1079" w:hRule="atLeast"/>
        </w:trPr>
        <w:tc>
          <w:tcPr>
            <w:tcW w:w="1143" w:type="dxa"/>
            <w:vMerge/>
            <w:tcBorders>
              <w:top w:val="nil"/>
              <w:left w:val="single" w:sz="12" w:space="0" w:color="000000"/>
              <w:bottom w:val="single" w:sz="12" w:space="0" w:color="000000"/>
            </w:tcBorders>
          </w:tcPr>
          <w:p>
            <w:pPr>
              <w:rPr>
                <w:sz w:val="2"/>
                <w:szCs w:val="2"/>
              </w:rPr>
            </w:pPr>
          </w:p>
        </w:tc>
        <w:tc>
          <w:tcPr>
            <w:tcW w:w="1387" w:type="dxa"/>
            <w:vMerge/>
            <w:tcBorders>
              <w:top w:val="nil"/>
              <w:bottom w:val="single" w:sz="4" w:space="0" w:color="000000"/>
            </w:tcBorders>
          </w:tcPr>
          <w:p>
            <w:pPr>
              <w:rPr>
                <w:sz w:val="2"/>
                <w:szCs w:val="2"/>
              </w:rPr>
            </w:pPr>
          </w:p>
        </w:tc>
        <w:tc>
          <w:tcPr>
            <w:tcW w:w="1837" w:type="dxa"/>
            <w:tcBorders>
              <w:top w:val="single" w:sz="4" w:space="0" w:color="000000"/>
              <w:bottom w:val="single" w:sz="4" w:space="0" w:color="000000"/>
            </w:tcBorders>
          </w:tcPr>
          <w:p>
            <w:pPr>
              <w:pStyle w:val="TableParagraph"/>
              <w:spacing w:line="237" w:lineRule="auto"/>
              <w:ind w:left="120" w:right="251"/>
              <w:rPr>
                <w:sz w:val="18"/>
              </w:rPr>
            </w:pPr>
            <w:r>
              <w:rPr>
                <w:sz w:val="18"/>
              </w:rPr>
              <w:t>For screening blood and blood products</w:t>
            </w:r>
          </w:p>
        </w:tc>
        <w:tc>
          <w:tcPr>
            <w:tcW w:w="1418" w:type="dxa"/>
            <w:tcBorders>
              <w:top w:val="single" w:sz="4" w:space="0" w:color="000000"/>
              <w:bottom w:val="single" w:sz="4" w:space="0" w:color="000000"/>
            </w:tcBorders>
          </w:tcPr>
          <w:p>
            <w:pPr>
              <w:pStyle w:val="TableParagraph"/>
              <w:spacing w:line="237" w:lineRule="auto"/>
              <w:ind w:left="126" w:right="83"/>
              <w:rPr>
                <w:sz w:val="18"/>
              </w:rPr>
            </w:pPr>
            <w:r>
              <w:rPr>
                <w:sz w:val="18"/>
              </w:rPr>
              <w:t>EIA (Microplate) Manual method</w:t>
            </w:r>
          </w:p>
        </w:tc>
        <w:tc>
          <w:tcPr>
            <w:tcW w:w="1843" w:type="dxa"/>
            <w:tcBorders>
              <w:top w:val="single" w:sz="4" w:space="0" w:color="000000"/>
              <w:bottom w:val="single" w:sz="4" w:space="0" w:color="000000"/>
            </w:tcBorders>
          </w:tcPr>
          <w:p>
            <w:pPr>
              <w:pStyle w:val="TableParagraph"/>
              <w:spacing w:line="237" w:lineRule="auto"/>
              <w:ind w:left="127" w:right="1175"/>
              <w:rPr>
                <w:sz w:val="18"/>
              </w:rPr>
            </w:pPr>
            <w:r>
              <w:rPr>
                <w:sz w:val="18"/>
              </w:rPr>
              <w:t>Serum Plasma</w:t>
            </w:r>
          </w:p>
        </w:tc>
        <w:tc>
          <w:tcPr>
            <w:tcW w:w="3542" w:type="dxa"/>
            <w:tcBorders>
              <w:top w:val="single" w:sz="4" w:space="0" w:color="000000"/>
              <w:bottom w:val="single" w:sz="4" w:space="0" w:color="000000"/>
            </w:tcBorders>
          </w:tcPr>
          <w:p>
            <w:pPr>
              <w:pStyle w:val="TableParagraph"/>
              <w:spacing w:line="211" w:lineRule="exact"/>
              <w:ind w:left="127"/>
              <w:rPr>
                <w:sz w:val="18"/>
              </w:rPr>
            </w:pPr>
            <w:r>
              <w:rPr>
                <w:sz w:val="18"/>
              </w:rPr>
              <w:t>N/A</w:t>
            </w:r>
          </w:p>
        </w:tc>
        <w:tc>
          <w:tcPr>
            <w:tcW w:w="3262" w:type="dxa"/>
            <w:tcBorders>
              <w:top w:val="single" w:sz="4" w:space="0" w:color="000000"/>
              <w:bottom w:val="single" w:sz="4" w:space="0" w:color="000000"/>
              <w:right w:val="single" w:sz="12" w:space="0" w:color="000000"/>
            </w:tcBorders>
          </w:tcPr>
          <w:p>
            <w:pPr>
              <w:pStyle w:val="TableParagraph"/>
              <w:ind w:left="128" w:right="106"/>
              <w:rPr>
                <w:sz w:val="18"/>
              </w:rPr>
            </w:pPr>
            <w:r>
              <w:rPr>
                <w:sz w:val="18"/>
              </w:rPr>
              <w:t>Screening donated blood for transfusion transmissible infections (2009) </w:t>
            </w:r>
            <w:hyperlink r:id="rId262">
              <w:r>
                <w:rPr>
                  <w:color w:val="0462C1"/>
                  <w:sz w:val="18"/>
                  <w:u w:val="single" w:color="0462C1"/>
                </w:rPr>
                <w:t>http://apps.who.int/iris/bitstream/handl</w:t>
              </w:r>
            </w:hyperlink>
            <w:r>
              <w:rPr>
                <w:color w:val="0462C1"/>
                <w:sz w:val="18"/>
              </w:rPr>
              <w:t> </w:t>
            </w:r>
            <w:hyperlink r:id="rId262">
              <w:r>
                <w:rPr>
                  <w:color w:val="0462C1"/>
                  <w:sz w:val="18"/>
                  <w:u w:val="single" w:color="0462C1"/>
                </w:rPr>
                <w:t>e/10665/44202/9789241547888_eng.pd</w:t>
              </w:r>
            </w:hyperlink>
          </w:p>
          <w:p>
            <w:pPr>
              <w:pStyle w:val="TableParagraph"/>
              <w:spacing w:line="189" w:lineRule="exact"/>
              <w:ind w:left="128"/>
              <w:rPr>
                <w:sz w:val="18"/>
              </w:rPr>
            </w:pPr>
            <w:hyperlink r:id="rId262">
              <w:r>
                <w:rPr>
                  <w:color w:val="0462C1"/>
                  <w:sz w:val="18"/>
                </w:rPr>
                <w:t>f?sequence=1&amp;isAllowed=y</w:t>
              </w:r>
            </w:hyperlink>
          </w:p>
        </w:tc>
      </w:tr>
      <w:tr>
        <w:trPr>
          <w:trHeight w:val="1309" w:hRule="atLeast"/>
        </w:trPr>
        <w:tc>
          <w:tcPr>
            <w:tcW w:w="1143" w:type="dxa"/>
            <w:vMerge/>
            <w:tcBorders>
              <w:top w:val="nil"/>
              <w:left w:val="single" w:sz="12" w:space="0" w:color="000000"/>
              <w:bottom w:val="single" w:sz="12" w:space="0" w:color="000000"/>
            </w:tcBorders>
          </w:tcPr>
          <w:p>
            <w:pPr>
              <w:rPr>
                <w:sz w:val="2"/>
                <w:szCs w:val="2"/>
              </w:rPr>
            </w:pPr>
          </w:p>
        </w:tc>
        <w:tc>
          <w:tcPr>
            <w:tcW w:w="1387" w:type="dxa"/>
            <w:tcBorders>
              <w:top w:val="single" w:sz="4" w:space="0" w:color="000000"/>
              <w:bottom w:val="single" w:sz="12" w:space="0" w:color="000000"/>
            </w:tcBorders>
          </w:tcPr>
          <w:p>
            <w:pPr>
              <w:pStyle w:val="TableParagraph"/>
              <w:spacing w:line="209" w:lineRule="exact"/>
              <w:ind w:left="117"/>
              <w:rPr>
                <w:sz w:val="18"/>
              </w:rPr>
            </w:pPr>
            <w:r>
              <w:rPr>
                <w:sz w:val="18"/>
              </w:rPr>
              <w:t>Combined</w:t>
            </w:r>
          </w:p>
          <w:p>
            <w:pPr>
              <w:pStyle w:val="TableParagraph"/>
              <w:spacing w:before="1"/>
              <w:ind w:left="117" w:right="118"/>
              <w:rPr>
                <w:sz w:val="18"/>
              </w:rPr>
            </w:pPr>
            <w:r>
              <w:rPr>
                <w:sz w:val="18"/>
              </w:rPr>
              <w:t>antibodies to </w:t>
            </w:r>
            <w:r>
              <w:rPr>
                <w:i/>
                <w:sz w:val="18"/>
              </w:rPr>
              <w:t>T. </w:t>
            </w:r>
            <w:r>
              <w:rPr>
                <w:i/>
                <w:sz w:val="18"/>
              </w:rPr>
              <w:t>pallidum </w:t>
            </w:r>
            <w:r>
              <w:rPr>
                <w:sz w:val="18"/>
              </w:rPr>
              <w:t>and to HIV-1/2 (anti- HIV)</w:t>
            </w:r>
          </w:p>
        </w:tc>
        <w:tc>
          <w:tcPr>
            <w:tcW w:w="1837" w:type="dxa"/>
            <w:tcBorders>
              <w:top w:val="single" w:sz="4" w:space="0" w:color="000000"/>
              <w:bottom w:val="single" w:sz="12" w:space="0" w:color="000000"/>
            </w:tcBorders>
          </w:tcPr>
          <w:p>
            <w:pPr>
              <w:pStyle w:val="TableParagraph"/>
              <w:spacing w:line="209" w:lineRule="exact"/>
              <w:ind w:left="120"/>
              <w:rPr>
                <w:sz w:val="18"/>
              </w:rPr>
            </w:pPr>
            <w:r>
              <w:rPr>
                <w:sz w:val="18"/>
              </w:rPr>
              <w:t>For the diagnosis or</w:t>
            </w:r>
          </w:p>
          <w:p>
            <w:pPr>
              <w:pStyle w:val="TableParagraph"/>
              <w:spacing w:before="1"/>
              <w:ind w:left="120" w:right="220"/>
              <w:rPr>
                <w:i/>
                <w:sz w:val="18"/>
              </w:rPr>
            </w:pPr>
            <w:r>
              <w:rPr>
                <w:sz w:val="18"/>
              </w:rPr>
              <w:t>as an aid in the diagnosis of HIV-1/2 and/or </w:t>
            </w:r>
            <w:r>
              <w:rPr>
                <w:i/>
                <w:sz w:val="18"/>
              </w:rPr>
              <w:t>T. pallidum</w:t>
            </w:r>
          </w:p>
        </w:tc>
        <w:tc>
          <w:tcPr>
            <w:tcW w:w="1418" w:type="dxa"/>
            <w:tcBorders>
              <w:top w:val="single" w:sz="4" w:space="0" w:color="000000"/>
              <w:bottom w:val="single" w:sz="12" w:space="0" w:color="000000"/>
            </w:tcBorders>
          </w:tcPr>
          <w:p>
            <w:pPr>
              <w:pStyle w:val="TableParagraph"/>
              <w:spacing w:line="209" w:lineRule="exact"/>
              <w:ind w:left="126"/>
              <w:rPr>
                <w:sz w:val="18"/>
              </w:rPr>
            </w:pPr>
            <w:r>
              <w:rPr>
                <w:sz w:val="18"/>
              </w:rPr>
              <w:t>RDT</w:t>
            </w:r>
          </w:p>
        </w:tc>
        <w:tc>
          <w:tcPr>
            <w:tcW w:w="1843" w:type="dxa"/>
            <w:tcBorders>
              <w:top w:val="single" w:sz="4" w:space="0" w:color="000000"/>
              <w:bottom w:val="single" w:sz="12" w:space="0" w:color="000000"/>
            </w:tcBorders>
          </w:tcPr>
          <w:p>
            <w:pPr>
              <w:pStyle w:val="TableParagraph"/>
              <w:spacing w:line="209" w:lineRule="exact"/>
              <w:ind w:left="127"/>
              <w:rPr>
                <w:sz w:val="18"/>
              </w:rPr>
            </w:pPr>
            <w:r>
              <w:rPr>
                <w:sz w:val="18"/>
              </w:rPr>
              <w:t>Venous whole blood</w:t>
            </w:r>
          </w:p>
          <w:p>
            <w:pPr>
              <w:pStyle w:val="TableParagraph"/>
              <w:spacing w:before="1"/>
              <w:ind w:left="127" w:right="1175"/>
              <w:rPr>
                <w:sz w:val="18"/>
              </w:rPr>
            </w:pPr>
            <w:r>
              <w:rPr>
                <w:sz w:val="18"/>
              </w:rPr>
              <w:t>Plasma Serum</w:t>
            </w:r>
          </w:p>
        </w:tc>
        <w:tc>
          <w:tcPr>
            <w:tcW w:w="3542" w:type="dxa"/>
            <w:tcBorders>
              <w:top w:val="single" w:sz="4" w:space="0" w:color="000000"/>
              <w:bottom w:val="single" w:sz="12" w:space="0" w:color="000000"/>
            </w:tcBorders>
          </w:tcPr>
          <w:p>
            <w:pPr>
              <w:pStyle w:val="TableParagraph"/>
              <w:spacing w:line="209" w:lineRule="exact"/>
              <w:ind w:left="127"/>
              <w:rPr>
                <w:sz w:val="18"/>
              </w:rPr>
            </w:pPr>
            <w:hyperlink r:id="rId96">
              <w:r>
                <w:rPr>
                  <w:color w:val="0462C1"/>
                  <w:sz w:val="18"/>
                  <w:u w:val="single" w:color="0462C1"/>
                </w:rPr>
                <w:t>http://www.who.int/diagnostics_laboratory/</w:t>
              </w:r>
            </w:hyperlink>
          </w:p>
          <w:p>
            <w:pPr>
              <w:pStyle w:val="TableParagraph"/>
              <w:spacing w:before="1"/>
              <w:ind w:left="127" w:right="1685"/>
              <w:rPr>
                <w:sz w:val="18"/>
              </w:rPr>
            </w:pPr>
            <w:hyperlink r:id="rId96">
              <w:r>
                <w:rPr>
                  <w:color w:val="0462C1"/>
                  <w:sz w:val="18"/>
                  <w:u w:val="single" w:color="0462C1"/>
                </w:rPr>
                <w:t>evaluations/pq-list/hiv-</w:t>
              </w:r>
            </w:hyperlink>
            <w:r>
              <w:rPr>
                <w:color w:val="0462C1"/>
                <w:sz w:val="18"/>
              </w:rPr>
              <w:t> </w:t>
            </w:r>
            <w:hyperlink r:id="rId96">
              <w:r>
                <w:rPr>
                  <w:color w:val="0462C1"/>
                  <w:sz w:val="18"/>
                  <w:u w:val="single" w:color="0462C1"/>
                </w:rPr>
                <w:t>rdts/public_report/en/</w:t>
              </w:r>
            </w:hyperlink>
          </w:p>
        </w:tc>
        <w:tc>
          <w:tcPr>
            <w:tcW w:w="3262" w:type="dxa"/>
            <w:tcBorders>
              <w:top w:val="single" w:sz="4" w:space="0" w:color="000000"/>
              <w:bottom w:val="single" w:sz="12" w:space="0" w:color="000000"/>
              <w:right w:val="single" w:sz="12" w:space="0" w:color="000000"/>
            </w:tcBorders>
          </w:tcPr>
          <w:p>
            <w:pPr>
              <w:pStyle w:val="TableParagraph"/>
              <w:spacing w:line="209" w:lineRule="exact"/>
              <w:ind w:left="128"/>
              <w:rPr>
                <w:sz w:val="18"/>
              </w:rPr>
            </w:pPr>
            <w:r>
              <w:rPr>
                <w:sz w:val="18"/>
              </w:rPr>
              <w:t>WHO Information note on the use of</w:t>
            </w:r>
          </w:p>
          <w:p>
            <w:pPr>
              <w:pStyle w:val="TableParagraph"/>
              <w:spacing w:before="1"/>
              <w:ind w:left="128"/>
              <w:rPr>
                <w:sz w:val="18"/>
              </w:rPr>
            </w:pPr>
            <w:r>
              <w:rPr>
                <w:sz w:val="18"/>
              </w:rPr>
              <w:t>dual HIV/syphilis rapid diagnostic tests (RDT) (2017)</w:t>
            </w:r>
          </w:p>
          <w:p>
            <w:pPr>
              <w:pStyle w:val="TableParagraph"/>
              <w:ind w:left="128" w:right="126"/>
              <w:rPr>
                <w:sz w:val="18"/>
              </w:rPr>
            </w:pPr>
            <w:hyperlink r:id="rId130">
              <w:r>
                <w:rPr>
                  <w:color w:val="0462C1"/>
                  <w:sz w:val="18"/>
                  <w:u w:val="single" w:color="0462C1"/>
                </w:rPr>
                <w:t>http://apps.who.int/iris/bitstream/handl</w:t>
              </w:r>
            </w:hyperlink>
            <w:r>
              <w:rPr>
                <w:color w:val="0462C1"/>
                <w:sz w:val="18"/>
              </w:rPr>
              <w:t> </w:t>
            </w:r>
            <w:hyperlink r:id="rId130">
              <w:r>
                <w:rPr>
                  <w:color w:val="0462C1"/>
                  <w:sz w:val="18"/>
                  <w:u w:val="single" w:color="0462C1"/>
                </w:rPr>
                <w:t>e/10665/252849/WHO-RHR-17.01-</w:t>
              </w:r>
            </w:hyperlink>
          </w:p>
          <w:p>
            <w:pPr>
              <w:pStyle w:val="TableParagraph"/>
              <w:spacing w:line="201" w:lineRule="exact"/>
              <w:ind w:left="128"/>
              <w:rPr>
                <w:sz w:val="18"/>
              </w:rPr>
            </w:pPr>
            <w:hyperlink r:id="rId130">
              <w:r>
                <w:rPr>
                  <w:color w:val="0462C1"/>
                  <w:sz w:val="18"/>
                  <w:u w:val="single" w:color="0462C1"/>
                </w:rPr>
                <w:t>eng.pdf?sequence=1</w:t>
              </w:r>
            </w:hyperlink>
          </w:p>
        </w:tc>
      </w:tr>
    </w:tbl>
    <w:p>
      <w:pPr>
        <w:spacing w:after="0" w:line="201" w:lineRule="exact"/>
        <w:rPr>
          <w:sz w:val="18"/>
        </w:rPr>
        <w:sectPr>
          <w:headerReference w:type="default" r:id="rId334"/>
          <w:footerReference w:type="default" r:id="rId335"/>
          <w:pgSz w:w="16840" w:h="11910" w:orient="landscape"/>
          <w:pgMar w:header="0" w:footer="495" w:top="1100" w:bottom="680" w:left="1180" w:right="920"/>
          <w:pgNumType w:start="27"/>
        </w:sectPr>
      </w:pPr>
    </w:p>
    <w:p>
      <w:pPr>
        <w:pStyle w:val="BodyText"/>
        <w:spacing w:before="9"/>
        <w:rPr>
          <w:rFonts w:ascii="Times New Roman"/>
          <w:sz w:val="25"/>
        </w:rPr>
      </w:pPr>
    </w:p>
    <w:p>
      <w:pPr>
        <w:pStyle w:val="Heading1"/>
        <w:ind w:left="260"/>
      </w:pPr>
      <w:r>
        <w:rPr/>
        <w:t>WHO supporting documents for general laboratory diagnostics</w:t>
      </w:r>
    </w:p>
    <w:p>
      <w:pPr>
        <w:spacing w:before="191"/>
        <w:ind w:left="260" w:right="1126" w:firstLine="0"/>
        <w:jc w:val="left"/>
        <w:rPr>
          <w:sz w:val="18"/>
        </w:rPr>
      </w:pPr>
      <w:r>
        <w:rPr>
          <w:sz w:val="18"/>
        </w:rPr>
        <w:t>Asia Pacific strategy for strengthening health laboratory services (2010–2015); 2010 </w:t>
      </w:r>
      <w:hyperlink r:id="rId349">
        <w:r>
          <w:rPr>
            <w:sz w:val="18"/>
          </w:rPr>
          <w:t>(</w:t>
        </w:r>
        <w:r>
          <w:rPr>
            <w:color w:val="0462C1"/>
            <w:sz w:val="18"/>
            <w:u w:val="single" w:color="0462C1"/>
          </w:rPr>
          <w:t>http://www.wpro.who.int/health_technology/documents/asia_pacific_laboratory_strategy2010-</w:t>
        </w:r>
      </w:hyperlink>
      <w:r>
        <w:rPr>
          <w:color w:val="0462C1"/>
          <w:sz w:val="18"/>
        </w:rPr>
        <w:t> </w:t>
      </w:r>
      <w:hyperlink r:id="rId349">
        <w:r>
          <w:rPr>
            <w:color w:val="0462C1"/>
            <w:sz w:val="18"/>
            <w:u w:val="single" w:color="0462C1"/>
          </w:rPr>
          <w:t>2015.pdf?ua=1</w:t>
        </w:r>
      </w:hyperlink>
      <w:r>
        <w:rPr>
          <w:sz w:val="18"/>
        </w:rPr>
        <w:t>).</w:t>
      </w:r>
    </w:p>
    <w:p>
      <w:pPr>
        <w:pStyle w:val="BodyText"/>
        <w:spacing w:before="11"/>
        <w:rPr>
          <w:sz w:val="12"/>
        </w:rPr>
      </w:pPr>
    </w:p>
    <w:p>
      <w:pPr>
        <w:spacing w:before="63"/>
        <w:ind w:left="260" w:right="3235" w:firstLine="0"/>
        <w:jc w:val="left"/>
        <w:rPr>
          <w:sz w:val="18"/>
        </w:rPr>
      </w:pPr>
      <w:r>
        <w:rPr>
          <w:sz w:val="18"/>
        </w:rPr>
        <w:t>Consolidated guidelines on the use of antiretroviral drugs for treating and preventing HIV infection: Recommendations for a public health approach; 2016 </w:t>
      </w:r>
      <w:hyperlink r:id="rId350">
        <w:r>
          <w:rPr>
            <w:sz w:val="18"/>
          </w:rPr>
          <w:t>(</w:t>
        </w:r>
        <w:r>
          <w:rPr>
            <w:color w:val="0462C1"/>
            <w:sz w:val="18"/>
            <w:u w:val="single" w:color="0462C1"/>
          </w:rPr>
          <w:t>http://apps.who.int/iris/bitstream/handle/10665/208825/9789241549684_eng.pdf?sequence=1</w:t>
        </w:r>
      </w:hyperlink>
      <w:r>
        <w:rPr>
          <w:sz w:val="18"/>
        </w:rPr>
        <w:t>).</w:t>
      </w:r>
    </w:p>
    <w:p>
      <w:pPr>
        <w:pStyle w:val="BodyText"/>
        <w:spacing w:before="11"/>
        <w:rPr>
          <w:sz w:val="12"/>
        </w:rPr>
      </w:pPr>
    </w:p>
    <w:p>
      <w:pPr>
        <w:spacing w:before="64"/>
        <w:ind w:left="260" w:right="0" w:firstLine="0"/>
        <w:jc w:val="left"/>
        <w:rPr>
          <w:sz w:val="18"/>
        </w:rPr>
      </w:pPr>
      <w:r>
        <w:rPr>
          <w:sz w:val="18"/>
        </w:rPr>
        <w:t>Guidelines on hepatitis B and C testing; 201</w:t>
      </w:r>
      <w:hyperlink r:id="rId81">
        <w:r>
          <w:rPr>
            <w:sz w:val="18"/>
          </w:rPr>
          <w:t>7 (</w:t>
        </w:r>
        <w:r>
          <w:rPr>
            <w:color w:val="0462C1"/>
            <w:sz w:val="18"/>
            <w:u w:val="single" w:color="0462C1"/>
          </w:rPr>
          <w:t>http://apps.who.int/iris/bitstream/handle/10665/254621/9789241549981-eng.pdf?sequence=1</w:t>
        </w:r>
        <w:r>
          <w:rPr>
            <w:sz w:val="18"/>
          </w:rPr>
          <w:t>)</w:t>
        </w:r>
      </w:hyperlink>
      <w:r>
        <w:rPr>
          <w:sz w:val="18"/>
        </w:rPr>
        <w:t>.</w:t>
      </w:r>
    </w:p>
    <w:p>
      <w:pPr>
        <w:pStyle w:val="BodyText"/>
        <w:spacing w:before="9"/>
        <w:rPr>
          <w:sz w:val="12"/>
        </w:rPr>
      </w:pPr>
    </w:p>
    <w:p>
      <w:pPr>
        <w:spacing w:before="64"/>
        <w:ind w:left="260" w:right="1452" w:firstLine="0"/>
        <w:jc w:val="left"/>
        <w:rPr>
          <w:sz w:val="18"/>
        </w:rPr>
      </w:pPr>
      <w:r>
        <w:rPr>
          <w:sz w:val="18"/>
        </w:rPr>
        <w:t>HEARTS: Technical package for cardiovascular disease management in primary health care; 201</w:t>
      </w:r>
      <w:hyperlink r:id="rId351">
        <w:r>
          <w:rPr>
            <w:sz w:val="18"/>
          </w:rPr>
          <w:t>8 (</w:t>
        </w:r>
        <w:r>
          <w:rPr>
            <w:color w:val="0462C1"/>
            <w:sz w:val="18"/>
            <w:u w:val="single" w:color="0462C1"/>
          </w:rPr>
          <w:t>http://apps.who.int/iris/bitstream/handle/10665/260420/WHO-NMH-NVI-18.3-</w:t>
        </w:r>
      </w:hyperlink>
      <w:r>
        <w:rPr>
          <w:color w:val="0462C1"/>
          <w:sz w:val="18"/>
        </w:rPr>
        <w:t> </w:t>
      </w:r>
      <w:hyperlink r:id="rId351">
        <w:r>
          <w:rPr>
            <w:color w:val="0462C1"/>
            <w:sz w:val="18"/>
            <w:u w:val="single" w:color="0462C1"/>
          </w:rPr>
          <w:t>eng.pdf;jsessionid=1FEE12C3923A2885107C0D9EEFBB82B0?sequence=1</w:t>
        </w:r>
        <w:r>
          <w:rPr>
            <w:sz w:val="18"/>
          </w:rPr>
          <w:t>)</w:t>
        </w:r>
      </w:hyperlink>
      <w:r>
        <w:rPr>
          <w:sz w:val="18"/>
        </w:rPr>
        <w:t>.</w:t>
      </w:r>
    </w:p>
    <w:p>
      <w:pPr>
        <w:pStyle w:val="BodyText"/>
        <w:spacing w:before="8"/>
        <w:rPr>
          <w:sz w:val="12"/>
        </w:rPr>
      </w:pPr>
    </w:p>
    <w:p>
      <w:pPr>
        <w:spacing w:before="64"/>
        <w:ind w:left="260" w:right="0" w:firstLine="0"/>
        <w:jc w:val="left"/>
        <w:rPr>
          <w:sz w:val="18"/>
        </w:rPr>
      </w:pPr>
      <w:r>
        <w:rPr>
          <w:sz w:val="18"/>
        </w:rPr>
        <w:t>Interagency list of priority medical devices for essential interventions for reproductive, maternal, newborn and child health; 2015</w:t>
      </w:r>
      <w:hyperlink r:id="rId20">
        <w:r>
          <w:rPr>
            <w:sz w:val="18"/>
          </w:rPr>
          <w:t> (</w:t>
        </w:r>
        <w:r>
          <w:rPr>
            <w:color w:val="0462C1"/>
            <w:sz w:val="18"/>
            <w:u w:val="single" w:color="0462C1"/>
          </w:rPr>
          <w:t>http://www.who.int/medical_devices/publications/interagency_med_dev_list/en/</w:t>
        </w:r>
      </w:hyperlink>
      <w:r>
        <w:rPr>
          <w:sz w:val="18"/>
        </w:rPr>
        <w:t>).</w:t>
      </w:r>
    </w:p>
    <w:p>
      <w:pPr>
        <w:pStyle w:val="BodyText"/>
        <w:spacing w:before="10"/>
        <w:rPr>
          <w:sz w:val="12"/>
        </w:rPr>
      </w:pPr>
    </w:p>
    <w:p>
      <w:pPr>
        <w:spacing w:before="64"/>
        <w:ind w:left="260" w:right="6304" w:firstLine="0"/>
        <w:jc w:val="left"/>
        <w:rPr>
          <w:sz w:val="18"/>
        </w:rPr>
      </w:pPr>
      <w:r>
        <w:rPr>
          <w:sz w:val="18"/>
        </w:rPr>
        <w:t>Screening donated blood for transfusion-transmissible infections: Recommendations; 2009 </w:t>
      </w:r>
      <w:hyperlink r:id="rId262">
        <w:r>
          <w:rPr>
            <w:sz w:val="18"/>
          </w:rPr>
          <w:t>(</w:t>
        </w:r>
        <w:r>
          <w:rPr>
            <w:color w:val="0462C1"/>
            <w:sz w:val="18"/>
            <w:u w:val="single" w:color="0462C1"/>
          </w:rPr>
          <w:t>http://apps.who.int/iris/bitstream/handle/10665/44202/9789241547888_eng.pdf?sequence=1&amp;isAllowed=y</w:t>
        </w:r>
      </w:hyperlink>
      <w:r>
        <w:rPr>
          <w:sz w:val="18"/>
        </w:rPr>
        <w:t>).</w:t>
      </w:r>
    </w:p>
    <w:p>
      <w:pPr>
        <w:pStyle w:val="BodyText"/>
        <w:spacing w:before="11"/>
        <w:rPr>
          <w:sz w:val="12"/>
        </w:rPr>
      </w:pPr>
    </w:p>
    <w:p>
      <w:pPr>
        <w:spacing w:before="63"/>
        <w:ind w:left="260" w:right="0" w:firstLine="0"/>
        <w:jc w:val="left"/>
        <w:rPr>
          <w:sz w:val="18"/>
        </w:rPr>
      </w:pPr>
      <w:r>
        <w:rPr>
          <w:sz w:val="18"/>
        </w:rPr>
        <w:t>Use of glycated haemoglobin (HbA1c) in the diagnosis of diabetes mellitus; 2011 </w:t>
      </w:r>
      <w:hyperlink r:id="rId352">
        <w:r>
          <w:rPr>
            <w:sz w:val="18"/>
          </w:rPr>
          <w:t>(</w:t>
        </w:r>
        <w:r>
          <w:rPr>
            <w:color w:val="0462C1"/>
            <w:sz w:val="18"/>
            <w:u w:val="single" w:color="0462C1"/>
          </w:rPr>
          <w:t>http://www.who.int/diabetes/publications/diagnosis_diabetes2011/en/</w:t>
        </w:r>
      </w:hyperlink>
      <w:r>
        <w:rPr>
          <w:sz w:val="18"/>
        </w:rPr>
        <w:t>).</w:t>
      </w:r>
    </w:p>
    <w:p>
      <w:pPr>
        <w:pStyle w:val="BodyText"/>
        <w:spacing w:before="10"/>
        <w:rPr>
          <w:sz w:val="12"/>
        </w:rPr>
      </w:pPr>
    </w:p>
    <w:p>
      <w:pPr>
        <w:spacing w:before="63"/>
        <w:ind w:left="260" w:right="0" w:firstLine="0"/>
        <w:jc w:val="left"/>
        <w:rPr>
          <w:sz w:val="18"/>
        </w:rPr>
      </w:pPr>
      <w:r>
        <w:rPr>
          <w:sz w:val="18"/>
        </w:rPr>
        <w:t>WHO list of priority medical devices for cancer management; 2017 </w:t>
      </w:r>
      <w:hyperlink r:id="rId21">
        <w:r>
          <w:rPr>
            <w:sz w:val="18"/>
          </w:rPr>
          <w:t>(</w:t>
        </w:r>
        <w:r>
          <w:rPr>
            <w:color w:val="0462C1"/>
            <w:sz w:val="18"/>
            <w:u w:val="single" w:color="0462C1"/>
          </w:rPr>
          <w:t>http://www.who.int/medical_devices/publications/priority_med_dev_cancer_management/en/</w:t>
        </w:r>
      </w:hyperlink>
      <w:r>
        <w:rPr>
          <w:sz w:val="18"/>
        </w:rPr>
        <w:t>).</w:t>
      </w:r>
    </w:p>
    <w:p>
      <w:pPr>
        <w:pStyle w:val="BodyText"/>
        <w:spacing w:before="9"/>
        <w:rPr>
          <w:sz w:val="12"/>
        </w:rPr>
      </w:pPr>
    </w:p>
    <w:p>
      <w:pPr>
        <w:spacing w:before="64"/>
        <w:ind w:left="260" w:right="0" w:firstLine="0"/>
        <w:jc w:val="left"/>
        <w:rPr>
          <w:sz w:val="18"/>
        </w:rPr>
      </w:pPr>
      <w:r>
        <w:rPr>
          <w:sz w:val="18"/>
        </w:rPr>
        <w:t>WHO Manual of basic techniques for a health laboratory, 2nd edition; 200</w:t>
      </w:r>
      <w:hyperlink r:id="rId353">
        <w:r>
          <w:rPr>
            <w:sz w:val="18"/>
          </w:rPr>
          <w:t>3 (</w:t>
        </w:r>
        <w:r>
          <w:rPr>
            <w:color w:val="0462C1"/>
            <w:sz w:val="18"/>
            <w:u w:val="single" w:color="0462C1"/>
          </w:rPr>
          <w:t>http://apps.who.int/iris/bitstream/handle/10665/42295/9241545305.pdf?sequence=1</w:t>
        </w:r>
      </w:hyperlink>
      <w:r>
        <w:rPr>
          <w:sz w:val="18"/>
        </w:rPr>
        <w:t>).</w:t>
      </w:r>
    </w:p>
    <w:p>
      <w:pPr>
        <w:pStyle w:val="BodyText"/>
        <w:spacing w:before="9"/>
        <w:rPr>
          <w:sz w:val="12"/>
        </w:rPr>
      </w:pPr>
    </w:p>
    <w:p>
      <w:pPr>
        <w:spacing w:before="64"/>
        <w:ind w:left="260" w:right="0" w:firstLine="0"/>
        <w:jc w:val="left"/>
        <w:rPr>
          <w:sz w:val="18"/>
        </w:rPr>
      </w:pPr>
      <w:r>
        <w:rPr>
          <w:sz w:val="18"/>
        </w:rPr>
        <w:t>WHO publications on medical devices. Geneva: World Health Organization</w:t>
      </w:r>
      <w:hyperlink r:id="rId22">
        <w:r>
          <w:rPr>
            <w:sz w:val="18"/>
          </w:rPr>
          <w:t>; 2018 (</w:t>
        </w:r>
        <w:r>
          <w:rPr>
            <w:color w:val="0462C1"/>
            <w:sz w:val="18"/>
            <w:u w:val="single" w:color="0462C1"/>
          </w:rPr>
          <w:t>http://www.who.int/medical_devices/publications/en/</w:t>
        </w:r>
      </w:hyperlink>
      <w:r>
        <w:rPr>
          <w:sz w:val="18"/>
        </w:rPr>
        <w:t>).</w:t>
      </w:r>
    </w:p>
    <w:sectPr>
      <w:headerReference w:type="default" r:id="rId347"/>
      <w:footerReference w:type="default" r:id="rId348"/>
      <w:pgSz w:w="16840" w:h="11910" w:orient="landscape"/>
      <w:pgMar w:header="0" w:footer="495" w:top="1100" w:bottom="680" w:left="1180" w:right="920"/>
      <w:pgNumType w:start="2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Palatino Linotype">
    <w:altName w:val="Palatino Linotyp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5.919983pt;margin-top:780.200012pt;width:9.6pt;height:13.05pt;mso-position-horizontal-relative:page;mso-position-vertical-relative:page;z-index:-124768" type="#_x0000_t202" filled="false" stroked="false">
          <v:textbox inset="0,0,0,0">
            <w:txbxContent>
              <w:p>
                <w:pPr>
                  <w:pStyle w:val="BodyText"/>
                  <w:spacing w:line="245" w:lineRule="exact"/>
                  <w:ind w:left="40"/>
                </w:pPr>
                <w:r>
                  <w:rPr/>
                  <w:fldChar w:fldCharType="begin"/>
                </w:r>
                <w:r>
                  <w:rPr>
                    <w:w w:val="100"/>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552"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18</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528"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19</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504"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20</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480"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21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456"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22</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432"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23</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408"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24</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384"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25</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360"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26</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336"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27</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744"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312"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28</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720"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696"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12</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672"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13</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648"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14</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624"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15</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600"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16</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880005pt;margin-top:555.559998pt;width:15.3pt;height:13.05pt;mso-position-horizontal-relative:page;mso-position-vertical-relative:page;z-index:-124576" type="#_x0000_t202" filled="false" stroked="false">
          <v:textbox inset="0,0,0,0">
            <w:txbxContent>
              <w:p>
                <w:pPr>
                  <w:pStyle w:val="BodyText"/>
                  <w:spacing w:line="245" w:lineRule="exact"/>
                  <w:ind w:left="40"/>
                </w:pPr>
                <w:r>
                  <w:rPr/>
                  <w:fldChar w:fldCharType="begin"/>
                </w:r>
                <w:r>
                  <w:rPr/>
                  <w:instrText> PAGE </w:instrText>
                </w:r>
                <w:r>
                  <w:rPr/>
                  <w:fldChar w:fldCharType="separate"/>
                </w:r>
                <w:r>
                  <w:rPr/>
                  <w:t>17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10663">
          <wp:simplePos x="0" y="0"/>
          <wp:positionH relativeFrom="page">
            <wp:posOffset>918844</wp:posOffset>
          </wp:positionH>
          <wp:positionV relativeFrom="page">
            <wp:posOffset>319785</wp:posOffset>
          </wp:positionV>
          <wp:extent cx="1293495" cy="420624"/>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1293495" cy="420624"/>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Roman"/>
      <w:lvlText w:val="%1"/>
      <w:lvlJc w:val="left"/>
      <w:pPr>
        <w:ind w:left="1491" w:hanging="154"/>
        <w:jc w:val="left"/>
      </w:pPr>
      <w:rPr>
        <w:rFonts w:hint="default" w:ascii="Calibri" w:hAnsi="Calibri" w:eastAsia="Calibri" w:cs="Calibri"/>
        <w:w w:val="99"/>
        <w:sz w:val="32"/>
        <w:szCs w:val="32"/>
        <w:lang w:val="en-US" w:eastAsia="en-US" w:bidi="en-US"/>
      </w:rPr>
    </w:lvl>
    <w:lvl w:ilvl="1">
      <w:start w:val="0"/>
      <w:numFmt w:val="bullet"/>
      <w:lvlText w:val="•"/>
      <w:lvlJc w:val="left"/>
      <w:pPr>
        <w:ind w:left="2823" w:hanging="154"/>
      </w:pPr>
      <w:rPr>
        <w:rFonts w:hint="default"/>
        <w:lang w:val="en-US" w:eastAsia="en-US" w:bidi="en-US"/>
      </w:rPr>
    </w:lvl>
    <w:lvl w:ilvl="2">
      <w:start w:val="0"/>
      <w:numFmt w:val="bullet"/>
      <w:lvlText w:val="•"/>
      <w:lvlJc w:val="left"/>
      <w:pPr>
        <w:ind w:left="4147" w:hanging="154"/>
      </w:pPr>
      <w:rPr>
        <w:rFonts w:hint="default"/>
        <w:lang w:val="en-US" w:eastAsia="en-US" w:bidi="en-US"/>
      </w:rPr>
    </w:lvl>
    <w:lvl w:ilvl="3">
      <w:start w:val="0"/>
      <w:numFmt w:val="bullet"/>
      <w:lvlText w:val="•"/>
      <w:lvlJc w:val="left"/>
      <w:pPr>
        <w:ind w:left="5471" w:hanging="154"/>
      </w:pPr>
      <w:rPr>
        <w:rFonts w:hint="default"/>
        <w:lang w:val="en-US" w:eastAsia="en-US" w:bidi="en-US"/>
      </w:rPr>
    </w:lvl>
    <w:lvl w:ilvl="4">
      <w:start w:val="0"/>
      <w:numFmt w:val="bullet"/>
      <w:lvlText w:val="•"/>
      <w:lvlJc w:val="left"/>
      <w:pPr>
        <w:ind w:left="6795" w:hanging="154"/>
      </w:pPr>
      <w:rPr>
        <w:rFonts w:hint="default"/>
        <w:lang w:val="en-US" w:eastAsia="en-US" w:bidi="en-US"/>
      </w:rPr>
    </w:lvl>
    <w:lvl w:ilvl="5">
      <w:start w:val="0"/>
      <w:numFmt w:val="bullet"/>
      <w:lvlText w:val="•"/>
      <w:lvlJc w:val="left"/>
      <w:pPr>
        <w:ind w:left="8119" w:hanging="154"/>
      </w:pPr>
      <w:rPr>
        <w:rFonts w:hint="default"/>
        <w:lang w:val="en-US" w:eastAsia="en-US" w:bidi="en-US"/>
      </w:rPr>
    </w:lvl>
    <w:lvl w:ilvl="6">
      <w:start w:val="0"/>
      <w:numFmt w:val="bullet"/>
      <w:lvlText w:val="•"/>
      <w:lvlJc w:val="left"/>
      <w:pPr>
        <w:ind w:left="9443" w:hanging="154"/>
      </w:pPr>
      <w:rPr>
        <w:rFonts w:hint="default"/>
        <w:lang w:val="en-US" w:eastAsia="en-US" w:bidi="en-US"/>
      </w:rPr>
    </w:lvl>
    <w:lvl w:ilvl="7">
      <w:start w:val="0"/>
      <w:numFmt w:val="bullet"/>
      <w:lvlText w:val="•"/>
      <w:lvlJc w:val="left"/>
      <w:pPr>
        <w:ind w:left="10766" w:hanging="154"/>
      </w:pPr>
      <w:rPr>
        <w:rFonts w:hint="default"/>
        <w:lang w:val="en-US" w:eastAsia="en-US" w:bidi="en-US"/>
      </w:rPr>
    </w:lvl>
    <w:lvl w:ilvl="8">
      <w:start w:val="0"/>
      <w:numFmt w:val="bullet"/>
      <w:lvlText w:val="•"/>
      <w:lvlJc w:val="left"/>
      <w:pPr>
        <w:ind w:left="12090" w:hanging="154"/>
      </w:pPr>
      <w:rPr>
        <w:rFonts w:hint="default"/>
        <w:lang w:val="en-US" w:eastAsia="en-US" w:bidi="en-US"/>
      </w:rPr>
    </w:lvl>
  </w:abstractNum>
  <w:abstractNum w:abstractNumId="3">
    <w:multiLevelType w:val="hybridMultilevel"/>
    <w:lvl w:ilvl="0">
      <w:start w:val="1"/>
      <w:numFmt w:val="upperRoman"/>
      <w:lvlText w:val="%1"/>
      <w:lvlJc w:val="left"/>
      <w:pPr>
        <w:ind w:left="1805" w:hanging="106"/>
        <w:jc w:val="left"/>
      </w:pPr>
      <w:rPr>
        <w:rFonts w:hint="default" w:ascii="Calibri" w:hAnsi="Calibri" w:eastAsia="Calibri" w:cs="Calibri"/>
        <w:w w:val="100"/>
        <w:sz w:val="22"/>
        <w:szCs w:val="22"/>
        <w:lang w:val="en-US" w:eastAsia="en-US" w:bidi="en-US"/>
      </w:rPr>
    </w:lvl>
    <w:lvl w:ilvl="1">
      <w:start w:val="0"/>
      <w:numFmt w:val="bullet"/>
      <w:lvlText w:val="•"/>
      <w:lvlJc w:val="left"/>
      <w:pPr>
        <w:ind w:left="3093" w:hanging="106"/>
      </w:pPr>
      <w:rPr>
        <w:rFonts w:hint="default"/>
        <w:lang w:val="en-US" w:eastAsia="en-US" w:bidi="en-US"/>
      </w:rPr>
    </w:lvl>
    <w:lvl w:ilvl="2">
      <w:start w:val="0"/>
      <w:numFmt w:val="bullet"/>
      <w:lvlText w:val="•"/>
      <w:lvlJc w:val="left"/>
      <w:pPr>
        <w:ind w:left="4387" w:hanging="106"/>
      </w:pPr>
      <w:rPr>
        <w:rFonts w:hint="default"/>
        <w:lang w:val="en-US" w:eastAsia="en-US" w:bidi="en-US"/>
      </w:rPr>
    </w:lvl>
    <w:lvl w:ilvl="3">
      <w:start w:val="0"/>
      <w:numFmt w:val="bullet"/>
      <w:lvlText w:val="•"/>
      <w:lvlJc w:val="left"/>
      <w:pPr>
        <w:ind w:left="5681" w:hanging="106"/>
      </w:pPr>
      <w:rPr>
        <w:rFonts w:hint="default"/>
        <w:lang w:val="en-US" w:eastAsia="en-US" w:bidi="en-US"/>
      </w:rPr>
    </w:lvl>
    <w:lvl w:ilvl="4">
      <w:start w:val="0"/>
      <w:numFmt w:val="bullet"/>
      <w:lvlText w:val="•"/>
      <w:lvlJc w:val="left"/>
      <w:pPr>
        <w:ind w:left="6975" w:hanging="106"/>
      </w:pPr>
      <w:rPr>
        <w:rFonts w:hint="default"/>
        <w:lang w:val="en-US" w:eastAsia="en-US" w:bidi="en-US"/>
      </w:rPr>
    </w:lvl>
    <w:lvl w:ilvl="5">
      <w:start w:val="0"/>
      <w:numFmt w:val="bullet"/>
      <w:lvlText w:val="•"/>
      <w:lvlJc w:val="left"/>
      <w:pPr>
        <w:ind w:left="8269" w:hanging="106"/>
      </w:pPr>
      <w:rPr>
        <w:rFonts w:hint="default"/>
        <w:lang w:val="en-US" w:eastAsia="en-US" w:bidi="en-US"/>
      </w:rPr>
    </w:lvl>
    <w:lvl w:ilvl="6">
      <w:start w:val="0"/>
      <w:numFmt w:val="bullet"/>
      <w:lvlText w:val="•"/>
      <w:lvlJc w:val="left"/>
      <w:pPr>
        <w:ind w:left="9563" w:hanging="106"/>
      </w:pPr>
      <w:rPr>
        <w:rFonts w:hint="default"/>
        <w:lang w:val="en-US" w:eastAsia="en-US" w:bidi="en-US"/>
      </w:rPr>
    </w:lvl>
    <w:lvl w:ilvl="7">
      <w:start w:val="0"/>
      <w:numFmt w:val="bullet"/>
      <w:lvlText w:val="•"/>
      <w:lvlJc w:val="left"/>
      <w:pPr>
        <w:ind w:left="10856" w:hanging="106"/>
      </w:pPr>
      <w:rPr>
        <w:rFonts w:hint="default"/>
        <w:lang w:val="en-US" w:eastAsia="en-US" w:bidi="en-US"/>
      </w:rPr>
    </w:lvl>
    <w:lvl w:ilvl="8">
      <w:start w:val="0"/>
      <w:numFmt w:val="bullet"/>
      <w:lvlText w:val="•"/>
      <w:lvlJc w:val="left"/>
      <w:pPr>
        <w:ind w:left="12150" w:hanging="106"/>
      </w:pPr>
      <w:rPr>
        <w:rFonts w:hint="default"/>
        <w:lang w:val="en-US" w:eastAsia="en-US" w:bidi="en-US"/>
      </w:rPr>
    </w:lvl>
  </w:abstractNum>
  <w:abstractNum w:abstractNumId="2">
    <w:multiLevelType w:val="hybridMultilevel"/>
    <w:lvl w:ilvl="0">
      <w:start w:val="1"/>
      <w:numFmt w:val="decimal"/>
      <w:lvlText w:val="%1)"/>
      <w:lvlJc w:val="left"/>
      <w:pPr>
        <w:ind w:left="448" w:hanging="228"/>
        <w:jc w:val="left"/>
      </w:pPr>
      <w:rPr>
        <w:rFonts w:hint="default" w:ascii="Calibri" w:hAnsi="Calibri" w:eastAsia="Calibri" w:cs="Calibri"/>
        <w:w w:val="100"/>
        <w:sz w:val="22"/>
        <w:szCs w:val="22"/>
        <w:lang w:val="en-US" w:eastAsia="en-US" w:bidi="en-US"/>
      </w:rPr>
    </w:lvl>
    <w:lvl w:ilvl="1">
      <w:start w:val="0"/>
      <w:numFmt w:val="bullet"/>
      <w:lvlText w:val=""/>
      <w:lvlJc w:val="left"/>
      <w:pPr>
        <w:ind w:left="940" w:hanging="360"/>
      </w:pPr>
      <w:rPr>
        <w:rFonts w:hint="default" w:ascii="Symbol" w:hAnsi="Symbol" w:eastAsia="Symbol" w:cs="Symbol"/>
        <w:w w:val="100"/>
        <w:sz w:val="22"/>
        <w:szCs w:val="22"/>
        <w:lang w:val="en-US" w:eastAsia="en-US" w:bidi="en-US"/>
      </w:rPr>
    </w:lvl>
    <w:lvl w:ilvl="2">
      <w:start w:val="0"/>
      <w:numFmt w:val="bullet"/>
      <w:lvlText w:val="•"/>
      <w:lvlJc w:val="left"/>
      <w:pPr>
        <w:ind w:left="1880" w:hanging="360"/>
      </w:pPr>
      <w:rPr>
        <w:rFonts w:hint="default"/>
        <w:lang w:val="en-US" w:eastAsia="en-US" w:bidi="en-US"/>
      </w:rPr>
    </w:lvl>
    <w:lvl w:ilvl="3">
      <w:start w:val="0"/>
      <w:numFmt w:val="bullet"/>
      <w:lvlText w:val="•"/>
      <w:lvlJc w:val="left"/>
      <w:pPr>
        <w:ind w:left="2821" w:hanging="360"/>
      </w:pPr>
      <w:rPr>
        <w:rFonts w:hint="default"/>
        <w:lang w:val="en-US" w:eastAsia="en-US" w:bidi="en-US"/>
      </w:rPr>
    </w:lvl>
    <w:lvl w:ilvl="4">
      <w:start w:val="0"/>
      <w:numFmt w:val="bullet"/>
      <w:lvlText w:val="•"/>
      <w:lvlJc w:val="left"/>
      <w:pPr>
        <w:ind w:left="3762" w:hanging="360"/>
      </w:pPr>
      <w:rPr>
        <w:rFonts w:hint="default"/>
        <w:lang w:val="en-US" w:eastAsia="en-US" w:bidi="en-US"/>
      </w:rPr>
    </w:lvl>
    <w:lvl w:ilvl="5">
      <w:start w:val="0"/>
      <w:numFmt w:val="bullet"/>
      <w:lvlText w:val="•"/>
      <w:lvlJc w:val="left"/>
      <w:pPr>
        <w:ind w:left="4702" w:hanging="360"/>
      </w:pPr>
      <w:rPr>
        <w:rFonts w:hint="default"/>
        <w:lang w:val="en-US" w:eastAsia="en-US" w:bidi="en-US"/>
      </w:rPr>
    </w:lvl>
    <w:lvl w:ilvl="6">
      <w:start w:val="0"/>
      <w:numFmt w:val="bullet"/>
      <w:lvlText w:val="•"/>
      <w:lvlJc w:val="left"/>
      <w:pPr>
        <w:ind w:left="5643" w:hanging="360"/>
      </w:pPr>
      <w:rPr>
        <w:rFonts w:hint="default"/>
        <w:lang w:val="en-US" w:eastAsia="en-US" w:bidi="en-US"/>
      </w:rPr>
    </w:lvl>
    <w:lvl w:ilvl="7">
      <w:start w:val="0"/>
      <w:numFmt w:val="bullet"/>
      <w:lvlText w:val="•"/>
      <w:lvlJc w:val="left"/>
      <w:pPr>
        <w:ind w:left="6584" w:hanging="360"/>
      </w:pPr>
      <w:rPr>
        <w:rFonts w:hint="default"/>
        <w:lang w:val="en-US" w:eastAsia="en-US" w:bidi="en-US"/>
      </w:rPr>
    </w:lvl>
    <w:lvl w:ilvl="8">
      <w:start w:val="0"/>
      <w:numFmt w:val="bullet"/>
      <w:lvlText w:val="•"/>
      <w:lvlJc w:val="left"/>
      <w:pPr>
        <w:ind w:left="7524" w:hanging="360"/>
      </w:pPr>
      <w:rPr>
        <w:rFonts w:hint="default"/>
        <w:lang w:val="en-US" w:eastAsia="en-US" w:bidi="en-US"/>
      </w:rPr>
    </w:lvl>
  </w:abstractNum>
  <w:abstractNum w:abstractNumId="1">
    <w:multiLevelType w:val="hybridMultilevel"/>
    <w:lvl w:ilvl="0">
      <w:start w:val="0"/>
      <w:numFmt w:val="bullet"/>
      <w:lvlText w:val=""/>
      <w:lvlJc w:val="left"/>
      <w:pPr>
        <w:ind w:left="940" w:hanging="360"/>
      </w:pPr>
      <w:rPr>
        <w:rFonts w:hint="default" w:ascii="Symbol" w:hAnsi="Symbol" w:eastAsia="Symbol" w:cs="Symbol"/>
        <w:w w:val="100"/>
        <w:sz w:val="22"/>
        <w:szCs w:val="22"/>
        <w:lang w:val="en-US" w:eastAsia="en-US" w:bidi="en-US"/>
      </w:rPr>
    </w:lvl>
    <w:lvl w:ilvl="1">
      <w:start w:val="0"/>
      <w:numFmt w:val="bullet"/>
      <w:lvlText w:val="•"/>
      <w:lvlJc w:val="left"/>
      <w:pPr>
        <w:ind w:left="1786" w:hanging="360"/>
      </w:pPr>
      <w:rPr>
        <w:rFonts w:hint="default"/>
        <w:lang w:val="en-US" w:eastAsia="en-US" w:bidi="en-US"/>
      </w:rPr>
    </w:lvl>
    <w:lvl w:ilvl="2">
      <w:start w:val="0"/>
      <w:numFmt w:val="bullet"/>
      <w:lvlText w:val="•"/>
      <w:lvlJc w:val="left"/>
      <w:pPr>
        <w:ind w:left="2633" w:hanging="360"/>
      </w:pPr>
      <w:rPr>
        <w:rFonts w:hint="default"/>
        <w:lang w:val="en-US" w:eastAsia="en-US" w:bidi="en-US"/>
      </w:rPr>
    </w:lvl>
    <w:lvl w:ilvl="3">
      <w:start w:val="0"/>
      <w:numFmt w:val="bullet"/>
      <w:lvlText w:val="•"/>
      <w:lvlJc w:val="left"/>
      <w:pPr>
        <w:ind w:left="3479" w:hanging="360"/>
      </w:pPr>
      <w:rPr>
        <w:rFonts w:hint="default"/>
        <w:lang w:val="en-US" w:eastAsia="en-US" w:bidi="en-US"/>
      </w:rPr>
    </w:lvl>
    <w:lvl w:ilvl="4">
      <w:start w:val="0"/>
      <w:numFmt w:val="bullet"/>
      <w:lvlText w:val="•"/>
      <w:lvlJc w:val="left"/>
      <w:pPr>
        <w:ind w:left="4326" w:hanging="360"/>
      </w:pPr>
      <w:rPr>
        <w:rFonts w:hint="default"/>
        <w:lang w:val="en-US" w:eastAsia="en-US" w:bidi="en-US"/>
      </w:rPr>
    </w:lvl>
    <w:lvl w:ilvl="5">
      <w:start w:val="0"/>
      <w:numFmt w:val="bullet"/>
      <w:lvlText w:val="•"/>
      <w:lvlJc w:val="left"/>
      <w:pPr>
        <w:ind w:left="5173" w:hanging="360"/>
      </w:pPr>
      <w:rPr>
        <w:rFonts w:hint="default"/>
        <w:lang w:val="en-US" w:eastAsia="en-US" w:bidi="en-US"/>
      </w:rPr>
    </w:lvl>
    <w:lvl w:ilvl="6">
      <w:start w:val="0"/>
      <w:numFmt w:val="bullet"/>
      <w:lvlText w:val="•"/>
      <w:lvlJc w:val="left"/>
      <w:pPr>
        <w:ind w:left="6019" w:hanging="360"/>
      </w:pPr>
      <w:rPr>
        <w:rFonts w:hint="default"/>
        <w:lang w:val="en-US" w:eastAsia="en-US" w:bidi="en-US"/>
      </w:rPr>
    </w:lvl>
    <w:lvl w:ilvl="7">
      <w:start w:val="0"/>
      <w:numFmt w:val="bullet"/>
      <w:lvlText w:val="•"/>
      <w:lvlJc w:val="left"/>
      <w:pPr>
        <w:ind w:left="6866" w:hanging="360"/>
      </w:pPr>
      <w:rPr>
        <w:rFonts w:hint="default"/>
        <w:lang w:val="en-US" w:eastAsia="en-US" w:bidi="en-US"/>
      </w:rPr>
    </w:lvl>
    <w:lvl w:ilvl="8">
      <w:start w:val="0"/>
      <w:numFmt w:val="bullet"/>
      <w:lvlText w:val="•"/>
      <w:lvlJc w:val="left"/>
      <w:pPr>
        <w:ind w:left="7713" w:hanging="360"/>
      </w:pPr>
      <w:rPr>
        <w:rFonts w:hint="default"/>
        <w:lang w:val="en-US" w:eastAsia="en-US" w:bidi="en-US"/>
      </w:rPr>
    </w:lvl>
  </w:abstractNum>
  <w:abstractNum w:abstractNumId="0">
    <w:multiLevelType w:val="hybridMultilevel"/>
    <w:lvl w:ilvl="0">
      <w:start w:val="1"/>
      <w:numFmt w:val="upperRoman"/>
      <w:lvlText w:val="%1"/>
      <w:lvlJc w:val="left"/>
      <w:pPr>
        <w:ind w:left="551" w:hanging="110"/>
        <w:jc w:val="left"/>
      </w:pPr>
      <w:rPr>
        <w:rFonts w:hint="default" w:ascii="Calibri" w:hAnsi="Calibri" w:eastAsia="Calibri" w:cs="Calibri"/>
        <w:b/>
        <w:bCs/>
        <w:w w:val="100"/>
        <w:sz w:val="22"/>
        <w:szCs w:val="22"/>
        <w:lang w:val="en-US" w:eastAsia="en-US" w:bidi="en-US"/>
      </w:rPr>
    </w:lvl>
    <w:lvl w:ilvl="1">
      <w:start w:val="1"/>
      <w:numFmt w:val="lowerLetter"/>
      <w:lvlText w:val="%1.%2"/>
      <w:lvlJc w:val="left"/>
      <w:pPr>
        <w:ind w:left="935" w:hanging="276"/>
        <w:jc w:val="left"/>
      </w:pPr>
      <w:rPr>
        <w:rFonts w:hint="default" w:ascii="Calibri" w:hAnsi="Calibri" w:eastAsia="Calibri" w:cs="Calibri"/>
        <w:b/>
        <w:bCs/>
        <w:w w:val="100"/>
        <w:sz w:val="22"/>
        <w:szCs w:val="22"/>
        <w:lang w:val="en-US" w:eastAsia="en-US" w:bidi="en-US"/>
      </w:rPr>
    </w:lvl>
    <w:lvl w:ilvl="2">
      <w:start w:val="0"/>
      <w:numFmt w:val="bullet"/>
      <w:lvlText w:val="•"/>
      <w:lvlJc w:val="left"/>
      <w:pPr>
        <w:ind w:left="1000" w:hanging="276"/>
      </w:pPr>
      <w:rPr>
        <w:rFonts w:hint="default"/>
        <w:lang w:val="en-US" w:eastAsia="en-US" w:bidi="en-US"/>
      </w:rPr>
    </w:lvl>
    <w:lvl w:ilvl="3">
      <w:start w:val="0"/>
      <w:numFmt w:val="bullet"/>
      <w:lvlText w:val="•"/>
      <w:lvlJc w:val="left"/>
      <w:pPr>
        <w:ind w:left="2050" w:hanging="276"/>
      </w:pPr>
      <w:rPr>
        <w:rFonts w:hint="default"/>
        <w:lang w:val="en-US" w:eastAsia="en-US" w:bidi="en-US"/>
      </w:rPr>
    </w:lvl>
    <w:lvl w:ilvl="4">
      <w:start w:val="0"/>
      <w:numFmt w:val="bullet"/>
      <w:lvlText w:val="•"/>
      <w:lvlJc w:val="left"/>
      <w:pPr>
        <w:ind w:left="3101" w:hanging="276"/>
      </w:pPr>
      <w:rPr>
        <w:rFonts w:hint="default"/>
        <w:lang w:val="en-US" w:eastAsia="en-US" w:bidi="en-US"/>
      </w:rPr>
    </w:lvl>
    <w:lvl w:ilvl="5">
      <w:start w:val="0"/>
      <w:numFmt w:val="bullet"/>
      <w:lvlText w:val="•"/>
      <w:lvlJc w:val="left"/>
      <w:pPr>
        <w:ind w:left="4152" w:hanging="276"/>
      </w:pPr>
      <w:rPr>
        <w:rFonts w:hint="default"/>
        <w:lang w:val="en-US" w:eastAsia="en-US" w:bidi="en-US"/>
      </w:rPr>
    </w:lvl>
    <w:lvl w:ilvl="6">
      <w:start w:val="0"/>
      <w:numFmt w:val="bullet"/>
      <w:lvlText w:val="•"/>
      <w:lvlJc w:val="left"/>
      <w:pPr>
        <w:ind w:left="5203" w:hanging="276"/>
      </w:pPr>
      <w:rPr>
        <w:rFonts w:hint="default"/>
        <w:lang w:val="en-US" w:eastAsia="en-US" w:bidi="en-US"/>
      </w:rPr>
    </w:lvl>
    <w:lvl w:ilvl="7">
      <w:start w:val="0"/>
      <w:numFmt w:val="bullet"/>
      <w:lvlText w:val="•"/>
      <w:lvlJc w:val="left"/>
      <w:pPr>
        <w:ind w:left="6254" w:hanging="276"/>
      </w:pPr>
      <w:rPr>
        <w:rFonts w:hint="default"/>
        <w:lang w:val="en-US" w:eastAsia="en-US" w:bidi="en-US"/>
      </w:rPr>
    </w:lvl>
    <w:lvl w:ilvl="8">
      <w:start w:val="0"/>
      <w:numFmt w:val="bullet"/>
      <w:lvlText w:val="•"/>
      <w:lvlJc w:val="left"/>
      <w:pPr>
        <w:ind w:left="7304" w:hanging="276"/>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TOC1" w:type="paragraph">
    <w:name w:val="TOC 1"/>
    <w:basedOn w:val="Normal"/>
    <w:uiPriority w:val="1"/>
    <w:qFormat/>
    <w:pPr>
      <w:ind w:left="441"/>
    </w:pPr>
    <w:rPr>
      <w:rFonts w:ascii="Calibri" w:hAnsi="Calibri" w:eastAsia="Calibri" w:cs="Calibri"/>
      <w:b/>
      <w:bCs/>
      <w:sz w:val="22"/>
      <w:szCs w:val="22"/>
      <w:lang w:val="en-US" w:eastAsia="en-US" w:bidi="en-US"/>
    </w:rPr>
  </w:style>
  <w:style w:styleId="TOC2" w:type="paragraph">
    <w:name w:val="TOC 2"/>
    <w:basedOn w:val="Normal"/>
    <w:uiPriority w:val="1"/>
    <w:qFormat/>
    <w:pPr>
      <w:spacing w:before="120"/>
      <w:ind w:left="935" w:hanging="345"/>
    </w:pPr>
    <w:rPr>
      <w:rFonts w:ascii="Calibri" w:hAnsi="Calibri" w:eastAsia="Calibri" w:cs="Calibri"/>
      <w:b/>
      <w:bCs/>
      <w:sz w:val="22"/>
      <w:szCs w:val="22"/>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spacing w:before="35"/>
      <w:ind w:left="220"/>
      <w:outlineLvl w:val="1"/>
    </w:pPr>
    <w:rPr>
      <w:rFonts w:ascii="Calibri" w:hAnsi="Calibri" w:eastAsia="Calibri" w:cs="Calibri"/>
      <w:b/>
      <w:bCs/>
      <w:sz w:val="32"/>
      <w:szCs w:val="32"/>
      <w:lang w:val="en-US" w:eastAsia="en-US" w:bidi="en-US"/>
    </w:rPr>
  </w:style>
  <w:style w:styleId="Heading2" w:type="paragraph">
    <w:name w:val="Heading 2"/>
    <w:basedOn w:val="Normal"/>
    <w:uiPriority w:val="1"/>
    <w:qFormat/>
    <w:pPr>
      <w:spacing w:line="391" w:lineRule="exact"/>
      <w:ind w:left="1491" w:hanging="235"/>
      <w:outlineLvl w:val="2"/>
    </w:pPr>
    <w:rPr>
      <w:rFonts w:ascii="Calibri" w:hAnsi="Calibri" w:eastAsia="Calibri" w:cs="Calibri"/>
      <w:sz w:val="32"/>
      <w:szCs w:val="32"/>
      <w:lang w:val="en-US" w:eastAsia="en-US" w:bidi="en-US"/>
    </w:rPr>
  </w:style>
  <w:style w:styleId="Heading3" w:type="paragraph">
    <w:name w:val="Heading 3"/>
    <w:basedOn w:val="Normal"/>
    <w:uiPriority w:val="1"/>
    <w:qFormat/>
    <w:pPr>
      <w:ind w:left="220"/>
      <w:jc w:val="both"/>
      <w:outlineLvl w:val="3"/>
    </w:pPr>
    <w:rPr>
      <w:rFonts w:ascii="Calibri" w:hAnsi="Calibri" w:eastAsia="Calibri" w:cs="Calibri"/>
      <w:b/>
      <w:bCs/>
      <w:sz w:val="24"/>
      <w:szCs w:val="24"/>
      <w:lang w:val="en-US" w:eastAsia="en-US" w:bidi="en-US"/>
    </w:rPr>
  </w:style>
  <w:style w:styleId="ListParagraph" w:type="paragraph">
    <w:name w:val="List Paragraph"/>
    <w:basedOn w:val="Normal"/>
    <w:uiPriority w:val="1"/>
    <w:qFormat/>
    <w:pPr>
      <w:ind w:left="940" w:hanging="360"/>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hyperlink" Target="http://www.who.int/diagnostics_laboratory/publications/procurement/en/" TargetMode="External"/><Relationship Id="rId10" Type="http://schemas.openxmlformats.org/officeDocument/2006/relationships/hyperlink" Target="http://www.imdrf.org/docs/ghtf/final/sg1/technical-docs/ghtf-sg1-n071-2012-definition-of-terms-120516.pdf#search" TargetMode="External"/><Relationship Id="rId11" Type="http://schemas.openxmlformats.org/officeDocument/2006/relationships/hyperlink" Target="http://www.who.int/" TargetMode="External"/><Relationship Id="rId12" Type="http://schemas.openxmlformats.org/officeDocument/2006/relationships/hyperlink" Target="http://www.who.int/medical_devices/publications/global_model_regulatory_framework_meddev/en/" TargetMode="External"/><Relationship Id="rId13" Type="http://schemas.openxmlformats.org/officeDocument/2006/relationships/hyperlink" Target="http://www.who.int/healthsystems/round9_9.pdf" TargetMode="External"/><Relationship Id="rId14" Type="http://schemas.openxmlformats.org/officeDocument/2006/relationships/hyperlink" Target="http://www.who.int/gho/en/" TargetMode="External"/><Relationship Id="rId15" Type="http://schemas.openxmlformats.org/officeDocument/2006/relationships/hyperlink" Target="http://www.afro.who.int/publications/who-guide-stepwise-laboratory-improvement-process-towards-accreditation-slipta-african" TargetMode="External"/><Relationship Id="rId16" Type="http://schemas.openxmlformats.org/officeDocument/2006/relationships/hyperlink" Target="http://www.who.int/medical_devices/publications/lab_quality_standards/en/" TargetMode="External"/><Relationship Id="rId17" Type="http://schemas.openxmlformats.org/officeDocument/2006/relationships/hyperlink" Target="http://www.afro.who.int/publications/guide-national-public-health-laboratory-networking-strengthen-integrated-disease" TargetMode="External"/><Relationship Id="rId18" Type="http://schemas.openxmlformats.org/officeDocument/2006/relationships/hyperlink" Target="http://www.who.int/hiv/amds/amds_guide_dev_nat_lab_strat.pdf" TargetMode="External"/><Relationship Id="rId19" Type="http://schemas.openxmlformats.org/officeDocument/2006/relationships/hyperlink" Target="http://www.who.int/hiv/pub/meetingreports/hiv_diagnostics/en/" TargetMode="External"/><Relationship Id="rId20" Type="http://schemas.openxmlformats.org/officeDocument/2006/relationships/hyperlink" Target="http://www.who.int/medical_devices/publications/interagency_med_dev_list/en/" TargetMode="External"/><Relationship Id="rId21" Type="http://schemas.openxmlformats.org/officeDocument/2006/relationships/hyperlink" Target="http://www.who.int/medical_devices/publications/priority_med_dev_cancer_management/en/" TargetMode="External"/><Relationship Id="rId22" Type="http://schemas.openxmlformats.org/officeDocument/2006/relationships/hyperlink" Target="http://www.who.int/medical_devices/publications/en/" TargetMode="Externa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image" Target="media/image4.png"/><Relationship Id="rId26" Type="http://schemas.openxmlformats.org/officeDocument/2006/relationships/image" Target="media/image5.png"/><Relationship Id="rId27" Type="http://schemas.openxmlformats.org/officeDocument/2006/relationships/image" Target="media/image6.png"/><Relationship Id="rId28" Type="http://schemas.openxmlformats.org/officeDocument/2006/relationships/image" Target="media/image7.png"/><Relationship Id="rId29" Type="http://schemas.openxmlformats.org/officeDocument/2006/relationships/image" Target="media/image8.png"/><Relationship Id="rId30" Type="http://schemas.openxmlformats.org/officeDocument/2006/relationships/image" Target="media/image9.png"/><Relationship Id="rId31" Type="http://schemas.openxmlformats.org/officeDocument/2006/relationships/image" Target="media/image10.png"/><Relationship Id="rId32" Type="http://schemas.openxmlformats.org/officeDocument/2006/relationships/header" Target="header3.xml"/><Relationship Id="rId33" Type="http://schemas.openxmlformats.org/officeDocument/2006/relationships/footer" Target="footer3.xml"/><Relationship Id="rId34" Type="http://schemas.openxmlformats.org/officeDocument/2006/relationships/image" Target="media/image11.png"/><Relationship Id="rId35" Type="http://schemas.openxmlformats.org/officeDocument/2006/relationships/image" Target="media/image12.png"/><Relationship Id="rId36" Type="http://schemas.openxmlformats.org/officeDocument/2006/relationships/image" Target="media/image13.png"/><Relationship Id="rId37" Type="http://schemas.openxmlformats.org/officeDocument/2006/relationships/image" Target="media/image14.png"/><Relationship Id="rId38" Type="http://schemas.openxmlformats.org/officeDocument/2006/relationships/image" Target="media/image15.png"/><Relationship Id="rId39" Type="http://schemas.openxmlformats.org/officeDocument/2006/relationships/image" Target="media/image16.png"/><Relationship Id="rId40" Type="http://schemas.openxmlformats.org/officeDocument/2006/relationships/image" Target="media/image17.png"/><Relationship Id="rId41" Type="http://schemas.openxmlformats.org/officeDocument/2006/relationships/image" Target="media/image18.png"/><Relationship Id="rId42" Type="http://schemas.openxmlformats.org/officeDocument/2006/relationships/image" Target="media/image19.png"/><Relationship Id="rId43" Type="http://schemas.openxmlformats.org/officeDocument/2006/relationships/image" Target="media/image20.png"/><Relationship Id="rId44" Type="http://schemas.openxmlformats.org/officeDocument/2006/relationships/image" Target="media/image21.png"/><Relationship Id="rId45" Type="http://schemas.openxmlformats.org/officeDocument/2006/relationships/image" Target="media/image22.png"/><Relationship Id="rId46" Type="http://schemas.openxmlformats.org/officeDocument/2006/relationships/image" Target="media/image23.png"/><Relationship Id="rId47" Type="http://schemas.openxmlformats.org/officeDocument/2006/relationships/image" Target="media/image24.png"/><Relationship Id="rId48" Type="http://schemas.openxmlformats.org/officeDocument/2006/relationships/image" Target="media/image25.png"/><Relationship Id="rId49" Type="http://schemas.openxmlformats.org/officeDocument/2006/relationships/image" Target="media/image26.png"/><Relationship Id="rId50" Type="http://schemas.openxmlformats.org/officeDocument/2006/relationships/image" Target="media/image27.png"/><Relationship Id="rId51" Type="http://schemas.openxmlformats.org/officeDocument/2006/relationships/image" Target="media/image28.png"/><Relationship Id="rId52" Type="http://schemas.openxmlformats.org/officeDocument/2006/relationships/image" Target="media/image29.png"/><Relationship Id="rId53" Type="http://schemas.openxmlformats.org/officeDocument/2006/relationships/image" Target="media/image30.png"/><Relationship Id="rId54" Type="http://schemas.openxmlformats.org/officeDocument/2006/relationships/image" Target="media/image31.png"/><Relationship Id="rId55" Type="http://schemas.openxmlformats.org/officeDocument/2006/relationships/image" Target="media/image32.png"/><Relationship Id="rId56" Type="http://schemas.openxmlformats.org/officeDocument/2006/relationships/image" Target="media/image33.png"/><Relationship Id="rId57" Type="http://schemas.openxmlformats.org/officeDocument/2006/relationships/image" Target="media/image34.png"/><Relationship Id="rId58" Type="http://schemas.openxmlformats.org/officeDocument/2006/relationships/image" Target="media/image35.png"/><Relationship Id="rId59" Type="http://schemas.openxmlformats.org/officeDocument/2006/relationships/image" Target="media/image36.png"/><Relationship Id="rId60" Type="http://schemas.openxmlformats.org/officeDocument/2006/relationships/image" Target="media/image37.png"/><Relationship Id="rId61" Type="http://schemas.openxmlformats.org/officeDocument/2006/relationships/image" Target="media/image38.png"/><Relationship Id="rId62" Type="http://schemas.openxmlformats.org/officeDocument/2006/relationships/image" Target="media/image39.png"/><Relationship Id="rId63" Type="http://schemas.openxmlformats.org/officeDocument/2006/relationships/image" Target="media/image40.png"/><Relationship Id="rId64" Type="http://schemas.openxmlformats.org/officeDocument/2006/relationships/header" Target="header4.xml"/><Relationship Id="rId65" Type="http://schemas.openxmlformats.org/officeDocument/2006/relationships/footer" Target="footer4.xml"/><Relationship Id="rId66" Type="http://schemas.openxmlformats.org/officeDocument/2006/relationships/image" Target="media/image41.png"/><Relationship Id="rId67" Type="http://schemas.openxmlformats.org/officeDocument/2006/relationships/image" Target="media/image42.png"/><Relationship Id="rId68" Type="http://schemas.openxmlformats.org/officeDocument/2006/relationships/image" Target="media/image43.png"/><Relationship Id="rId69" Type="http://schemas.openxmlformats.org/officeDocument/2006/relationships/image" Target="media/image44.png"/><Relationship Id="rId70" Type="http://schemas.openxmlformats.org/officeDocument/2006/relationships/image" Target="media/image45.png"/><Relationship Id="rId71" Type="http://schemas.openxmlformats.org/officeDocument/2006/relationships/image" Target="media/image46.png"/><Relationship Id="rId72" Type="http://schemas.openxmlformats.org/officeDocument/2006/relationships/image" Target="media/image47.png"/><Relationship Id="rId73" Type="http://schemas.openxmlformats.org/officeDocument/2006/relationships/image" Target="media/image48.png"/><Relationship Id="rId74" Type="http://schemas.openxmlformats.org/officeDocument/2006/relationships/image" Target="media/image49.png"/><Relationship Id="rId75" Type="http://schemas.openxmlformats.org/officeDocument/2006/relationships/image" Target="media/image50.png"/><Relationship Id="rId76" Type="http://schemas.openxmlformats.org/officeDocument/2006/relationships/image" Target="media/image51.png"/><Relationship Id="rId77" Type="http://schemas.openxmlformats.org/officeDocument/2006/relationships/image" Target="media/image52.png"/><Relationship Id="rId78" Type="http://schemas.openxmlformats.org/officeDocument/2006/relationships/image" Target="media/image53.png"/><Relationship Id="rId79" Type="http://schemas.openxmlformats.org/officeDocument/2006/relationships/image" Target="media/image54.png"/><Relationship Id="rId80" Type="http://schemas.openxmlformats.org/officeDocument/2006/relationships/hyperlink" Target="http://www.who.int/diagnostics_laboratory/evaluations/pq-list/hbsag/public_report/en/" TargetMode="External"/><Relationship Id="rId81" Type="http://schemas.openxmlformats.org/officeDocument/2006/relationships/hyperlink" Target="http://apps.who.int/iris/bitstream/handle/10665/254621/9789241549981-eng.pdf?sequence=1" TargetMode="External"/><Relationship Id="rId82" Type="http://schemas.openxmlformats.org/officeDocument/2006/relationships/hyperlink" Target="http://www.who.int/diagnostics_laboratory/evaluations/pq-list/hcv/public_report/en/" TargetMode="External"/><Relationship Id="rId83" Type="http://schemas.openxmlformats.org/officeDocument/2006/relationships/hyperlink" Target="http://www.who.int/diagnostics_laboratory/evaluations/pq-list/self-testing_public-report/en/" TargetMode="External"/><Relationship Id="rId84" Type="http://schemas.openxmlformats.org/officeDocument/2006/relationships/hyperlink" Target="http://apps.who.int/iris/bitstream/handle/10665/25" TargetMode="External"/><Relationship Id="rId85" Type="http://schemas.openxmlformats.org/officeDocument/2006/relationships/hyperlink" Target="http://www.who.int/hiv/pub/guidelines/hiv-" TargetMode="External"/><Relationship Id="rId86" Type="http://schemas.openxmlformats.org/officeDocument/2006/relationships/hyperlink" Target="http://www.who.int/hiv/pub/prep/prep-" TargetMode="External"/><Relationship Id="rId87" Type="http://schemas.openxmlformats.org/officeDocument/2006/relationships/header" Target="header5.xml"/><Relationship Id="rId88" Type="http://schemas.openxmlformats.org/officeDocument/2006/relationships/footer" Target="footer5.xml"/><Relationship Id="rId89" Type="http://schemas.openxmlformats.org/officeDocument/2006/relationships/image" Target="media/image55.png"/><Relationship Id="rId90" Type="http://schemas.openxmlformats.org/officeDocument/2006/relationships/image" Target="media/image56.png"/><Relationship Id="rId91" Type="http://schemas.openxmlformats.org/officeDocument/2006/relationships/image" Target="media/image57.png"/><Relationship Id="rId92" Type="http://schemas.openxmlformats.org/officeDocument/2006/relationships/image" Target="media/image58.png"/><Relationship Id="rId93" Type="http://schemas.openxmlformats.org/officeDocument/2006/relationships/image" Target="media/image59.png"/><Relationship Id="rId94" Type="http://schemas.openxmlformats.org/officeDocument/2006/relationships/image" Target="media/image60.png"/><Relationship Id="rId95" Type="http://schemas.openxmlformats.org/officeDocument/2006/relationships/image" Target="media/image61.png"/><Relationship Id="rId96" Type="http://schemas.openxmlformats.org/officeDocument/2006/relationships/hyperlink" Target="http://www.who.int/diagnostics_laboratory/evaluations/pq-list/hiv-rdts/public_report/en/" TargetMode="External"/><Relationship Id="rId97" Type="http://schemas.openxmlformats.org/officeDocument/2006/relationships/hyperlink" Target="http://www.who.int/hiv/pub/guidelines/hiv-testing-services/en/" TargetMode="External"/><Relationship Id="rId98" Type="http://schemas.openxmlformats.org/officeDocument/2006/relationships/hyperlink" Target="http://www.who.int/diagnostics_laboratory/evaluations/pq-list/malaria/public_report/en/" TargetMode="External"/><Relationship Id="rId99" Type="http://schemas.openxmlformats.org/officeDocument/2006/relationships/hyperlink" Target="http://apps.who.int/iris/bitstream/10665/162441/1/9789241549127_eng.pdf" TargetMode="External"/><Relationship Id="rId100" Type="http://schemas.openxmlformats.org/officeDocument/2006/relationships/hyperlink" Target="http://www.who.int/malaria/publications/atoz/978924151268/en/" TargetMode="External"/><Relationship Id="rId101" Type="http://schemas.openxmlformats.org/officeDocument/2006/relationships/hyperlink" Target="http://apps.who.int/iris/bitstream/handle/10665/44530/9789241501125_eng.pdf?sequence=1" TargetMode="External"/><Relationship Id="rId102" Type="http://schemas.openxmlformats.org/officeDocument/2006/relationships/hyperlink" Target="http://apps.who.int/iris/bitstream/handle/10665/44208/9789241547826_eng.pdf?sequence=1" TargetMode="External"/><Relationship Id="rId103" Type="http://schemas.openxmlformats.org/officeDocument/2006/relationships/hyperlink" Target="http://www.wpro.who.int/mvp/lab_quality/mm_sop/en/" TargetMode="External"/><Relationship Id="rId104" Type="http://schemas.openxmlformats.org/officeDocument/2006/relationships/header" Target="header6.xml"/><Relationship Id="rId105" Type="http://schemas.openxmlformats.org/officeDocument/2006/relationships/footer" Target="footer6.xml"/><Relationship Id="rId106" Type="http://schemas.openxmlformats.org/officeDocument/2006/relationships/image" Target="media/image62.png"/><Relationship Id="rId107" Type="http://schemas.openxmlformats.org/officeDocument/2006/relationships/image" Target="media/image63.png"/><Relationship Id="rId108" Type="http://schemas.openxmlformats.org/officeDocument/2006/relationships/image" Target="media/image64.png"/><Relationship Id="rId109" Type="http://schemas.openxmlformats.org/officeDocument/2006/relationships/image" Target="media/image65.png"/><Relationship Id="rId110" Type="http://schemas.openxmlformats.org/officeDocument/2006/relationships/image" Target="media/image66.png"/><Relationship Id="rId111" Type="http://schemas.openxmlformats.org/officeDocument/2006/relationships/image" Target="media/image67.png"/><Relationship Id="rId112" Type="http://schemas.openxmlformats.org/officeDocument/2006/relationships/image" Target="media/image68.png"/><Relationship Id="rId113" Type="http://schemas.openxmlformats.org/officeDocument/2006/relationships/image" Target="media/image69.png"/><Relationship Id="rId114" Type="http://schemas.openxmlformats.org/officeDocument/2006/relationships/image" Target="media/image70.png"/><Relationship Id="rId115" Type="http://schemas.openxmlformats.org/officeDocument/2006/relationships/image" Target="media/image71.png"/><Relationship Id="rId116" Type="http://schemas.openxmlformats.org/officeDocument/2006/relationships/image" Target="media/image72.png"/><Relationship Id="rId117" Type="http://schemas.openxmlformats.org/officeDocument/2006/relationships/hyperlink" Target="http://apps.who.int/iris/bitstream/10665/162712/1/9789241508612_eng.pdf" TargetMode="External"/><Relationship Id="rId118" Type="http://schemas.openxmlformats.org/officeDocument/2006/relationships/hyperlink" Target="http://apps.who.int/iris/bitstream/handle/10665/259180/9789241512572-eng.pdf?sequence=1" TargetMode="External"/><Relationship Id="rId119" Type="http://schemas.openxmlformats.org/officeDocument/2006/relationships/hyperlink" Target="http://apps.who.int/iris/bitstream/10665/249154/1/9789241511186-eng.pdf?ua=1" TargetMode="External"/><Relationship Id="rId120" Type="http://schemas.openxmlformats.org/officeDocument/2006/relationships/hyperlink" Target="http://apps.who.int/iris/bitstream/handle/10665/260233/9789241550239-eng.pdf%3Bjsessionid%3D6D1BB246312B378ACFEBF9BFFAFEB0ED?sequence=1" TargetMode="External"/><Relationship Id="rId121" Type="http://schemas.openxmlformats.org/officeDocument/2006/relationships/header" Target="header7.xml"/><Relationship Id="rId122" Type="http://schemas.openxmlformats.org/officeDocument/2006/relationships/footer" Target="footer7.xml"/><Relationship Id="rId123" Type="http://schemas.openxmlformats.org/officeDocument/2006/relationships/image" Target="media/image73.png"/><Relationship Id="rId124" Type="http://schemas.openxmlformats.org/officeDocument/2006/relationships/image" Target="media/image74.png"/><Relationship Id="rId125" Type="http://schemas.openxmlformats.org/officeDocument/2006/relationships/image" Target="media/image75.png"/><Relationship Id="rId126" Type="http://schemas.openxmlformats.org/officeDocument/2006/relationships/image" Target="media/image76.png"/><Relationship Id="rId127" Type="http://schemas.openxmlformats.org/officeDocument/2006/relationships/image" Target="media/image77.png"/><Relationship Id="rId128" Type="http://schemas.openxmlformats.org/officeDocument/2006/relationships/hyperlink" Target="http://www.who.int/diagnostics_laboratory/evaluations/PQ_list/en/" TargetMode="External"/><Relationship Id="rId129" Type="http://schemas.openxmlformats.org/officeDocument/2006/relationships/hyperlink" Target="http://apps.who.int/iris/bitstream/handle/10665/85343/9789241505840_eng.pdf?sequence=1" TargetMode="External"/><Relationship Id="rId130" Type="http://schemas.openxmlformats.org/officeDocument/2006/relationships/hyperlink" Target="http://apps.who.int/iris/bitstream/handle/10665/252849/WHO-RHR-17.01-eng.pdf?sequence=1" TargetMode="External"/><Relationship Id="rId131" Type="http://schemas.openxmlformats.org/officeDocument/2006/relationships/header" Target="header8.xml"/><Relationship Id="rId132" Type="http://schemas.openxmlformats.org/officeDocument/2006/relationships/footer" Target="footer8.xml"/><Relationship Id="rId133" Type="http://schemas.openxmlformats.org/officeDocument/2006/relationships/image" Target="media/image78.png"/><Relationship Id="rId134" Type="http://schemas.openxmlformats.org/officeDocument/2006/relationships/image" Target="media/image79.png"/><Relationship Id="rId135" Type="http://schemas.openxmlformats.org/officeDocument/2006/relationships/image" Target="media/image80.png"/><Relationship Id="rId136" Type="http://schemas.openxmlformats.org/officeDocument/2006/relationships/image" Target="media/image81.png"/><Relationship Id="rId137" Type="http://schemas.openxmlformats.org/officeDocument/2006/relationships/image" Target="media/image82.png"/><Relationship Id="rId138" Type="http://schemas.openxmlformats.org/officeDocument/2006/relationships/image" Target="media/image83.png"/><Relationship Id="rId139" Type="http://schemas.openxmlformats.org/officeDocument/2006/relationships/image" Target="media/image84.png"/><Relationship Id="rId140" Type="http://schemas.openxmlformats.org/officeDocument/2006/relationships/image" Target="media/image85.png"/><Relationship Id="rId141" Type="http://schemas.openxmlformats.org/officeDocument/2006/relationships/image" Target="media/image86.png"/><Relationship Id="rId142" Type="http://schemas.openxmlformats.org/officeDocument/2006/relationships/image" Target="media/image87.png"/><Relationship Id="rId143" Type="http://schemas.openxmlformats.org/officeDocument/2006/relationships/image" Target="media/image88.png"/><Relationship Id="rId144" Type="http://schemas.openxmlformats.org/officeDocument/2006/relationships/image" Target="media/image89.png"/><Relationship Id="rId145" Type="http://schemas.openxmlformats.org/officeDocument/2006/relationships/image" Target="media/image90.png"/><Relationship Id="rId146" Type="http://schemas.openxmlformats.org/officeDocument/2006/relationships/image" Target="media/image91.png"/><Relationship Id="rId147" Type="http://schemas.openxmlformats.org/officeDocument/2006/relationships/image" Target="media/image92.png"/><Relationship Id="rId148" Type="http://schemas.openxmlformats.org/officeDocument/2006/relationships/image" Target="media/image93.png"/><Relationship Id="rId149" Type="http://schemas.openxmlformats.org/officeDocument/2006/relationships/image" Target="media/image94.png"/><Relationship Id="rId150" Type="http://schemas.openxmlformats.org/officeDocument/2006/relationships/image" Target="media/image95.png"/><Relationship Id="rId151" Type="http://schemas.openxmlformats.org/officeDocument/2006/relationships/image" Target="media/image96.png"/><Relationship Id="rId152" Type="http://schemas.openxmlformats.org/officeDocument/2006/relationships/image" Target="media/image97.png"/><Relationship Id="rId153" Type="http://schemas.openxmlformats.org/officeDocument/2006/relationships/image" Target="media/image98.png"/><Relationship Id="rId154" Type="http://schemas.openxmlformats.org/officeDocument/2006/relationships/image" Target="media/image99.png"/><Relationship Id="rId155" Type="http://schemas.openxmlformats.org/officeDocument/2006/relationships/image" Target="media/image100.png"/><Relationship Id="rId156" Type="http://schemas.openxmlformats.org/officeDocument/2006/relationships/header" Target="header9.xml"/><Relationship Id="rId157" Type="http://schemas.openxmlformats.org/officeDocument/2006/relationships/footer" Target="footer9.xml"/><Relationship Id="rId158" Type="http://schemas.openxmlformats.org/officeDocument/2006/relationships/image" Target="media/image101.png"/><Relationship Id="rId159" Type="http://schemas.openxmlformats.org/officeDocument/2006/relationships/image" Target="media/image102.png"/><Relationship Id="rId160" Type="http://schemas.openxmlformats.org/officeDocument/2006/relationships/image" Target="media/image103.png"/><Relationship Id="rId161" Type="http://schemas.openxmlformats.org/officeDocument/2006/relationships/image" Target="media/image104.png"/><Relationship Id="rId162" Type="http://schemas.openxmlformats.org/officeDocument/2006/relationships/image" Target="media/image105.png"/><Relationship Id="rId163" Type="http://schemas.openxmlformats.org/officeDocument/2006/relationships/image" Target="media/image106.png"/><Relationship Id="rId164" Type="http://schemas.openxmlformats.org/officeDocument/2006/relationships/image" Target="media/image107.png"/><Relationship Id="rId165" Type="http://schemas.openxmlformats.org/officeDocument/2006/relationships/image" Target="media/image108.png"/><Relationship Id="rId166" Type="http://schemas.openxmlformats.org/officeDocument/2006/relationships/image" Target="media/image109.png"/><Relationship Id="rId167" Type="http://schemas.openxmlformats.org/officeDocument/2006/relationships/image" Target="media/image110.png"/><Relationship Id="rId168" Type="http://schemas.openxmlformats.org/officeDocument/2006/relationships/image" Target="media/image111.png"/><Relationship Id="rId169" Type="http://schemas.openxmlformats.org/officeDocument/2006/relationships/image" Target="media/image112.png"/><Relationship Id="rId170" Type="http://schemas.openxmlformats.org/officeDocument/2006/relationships/image" Target="media/image113.png"/><Relationship Id="rId171" Type="http://schemas.openxmlformats.org/officeDocument/2006/relationships/image" Target="media/image114.png"/><Relationship Id="rId172" Type="http://schemas.openxmlformats.org/officeDocument/2006/relationships/image" Target="media/image115.png"/><Relationship Id="rId173" Type="http://schemas.openxmlformats.org/officeDocument/2006/relationships/image" Target="media/image116.png"/><Relationship Id="rId174" Type="http://schemas.openxmlformats.org/officeDocument/2006/relationships/image" Target="media/image117.png"/><Relationship Id="rId175" Type="http://schemas.openxmlformats.org/officeDocument/2006/relationships/image" Target="media/image118.png"/><Relationship Id="rId176" Type="http://schemas.openxmlformats.org/officeDocument/2006/relationships/image" Target="media/image119.png"/><Relationship Id="rId177" Type="http://schemas.openxmlformats.org/officeDocument/2006/relationships/header" Target="header10.xml"/><Relationship Id="rId178" Type="http://schemas.openxmlformats.org/officeDocument/2006/relationships/footer" Target="footer10.xml"/><Relationship Id="rId179" Type="http://schemas.openxmlformats.org/officeDocument/2006/relationships/image" Target="media/image120.png"/><Relationship Id="rId180" Type="http://schemas.openxmlformats.org/officeDocument/2006/relationships/image" Target="media/image121.png"/><Relationship Id="rId181" Type="http://schemas.openxmlformats.org/officeDocument/2006/relationships/image" Target="media/image122.png"/><Relationship Id="rId182" Type="http://schemas.openxmlformats.org/officeDocument/2006/relationships/image" Target="media/image123.png"/><Relationship Id="rId183" Type="http://schemas.openxmlformats.org/officeDocument/2006/relationships/image" Target="media/image124.png"/><Relationship Id="rId184" Type="http://schemas.openxmlformats.org/officeDocument/2006/relationships/image" Target="media/image125.png"/><Relationship Id="rId185" Type="http://schemas.openxmlformats.org/officeDocument/2006/relationships/image" Target="media/image126.png"/><Relationship Id="rId186" Type="http://schemas.openxmlformats.org/officeDocument/2006/relationships/image" Target="media/image127.png"/><Relationship Id="rId187" Type="http://schemas.openxmlformats.org/officeDocument/2006/relationships/image" Target="media/image128.png"/><Relationship Id="rId188" Type="http://schemas.openxmlformats.org/officeDocument/2006/relationships/image" Target="media/image129.png"/><Relationship Id="rId189" Type="http://schemas.openxmlformats.org/officeDocument/2006/relationships/image" Target="media/image130.png"/><Relationship Id="rId190" Type="http://schemas.openxmlformats.org/officeDocument/2006/relationships/image" Target="media/image131.png"/><Relationship Id="rId191" Type="http://schemas.openxmlformats.org/officeDocument/2006/relationships/image" Target="media/image132.png"/><Relationship Id="rId192" Type="http://schemas.openxmlformats.org/officeDocument/2006/relationships/image" Target="media/image133.png"/><Relationship Id="rId193" Type="http://schemas.openxmlformats.org/officeDocument/2006/relationships/image" Target="media/image134.png"/><Relationship Id="rId194" Type="http://schemas.openxmlformats.org/officeDocument/2006/relationships/image" Target="media/image135.png"/><Relationship Id="rId195" Type="http://schemas.openxmlformats.org/officeDocument/2006/relationships/image" Target="media/image136.png"/><Relationship Id="rId196" Type="http://schemas.openxmlformats.org/officeDocument/2006/relationships/image" Target="media/image137.png"/><Relationship Id="rId197" Type="http://schemas.openxmlformats.org/officeDocument/2006/relationships/image" Target="media/image138.png"/><Relationship Id="rId198" Type="http://schemas.openxmlformats.org/officeDocument/2006/relationships/image" Target="media/image139.png"/><Relationship Id="rId199" Type="http://schemas.openxmlformats.org/officeDocument/2006/relationships/header" Target="header11.xml"/><Relationship Id="rId200" Type="http://schemas.openxmlformats.org/officeDocument/2006/relationships/footer" Target="footer11.xml"/><Relationship Id="rId201" Type="http://schemas.openxmlformats.org/officeDocument/2006/relationships/image" Target="media/image140.png"/><Relationship Id="rId202" Type="http://schemas.openxmlformats.org/officeDocument/2006/relationships/image" Target="media/image141.png"/><Relationship Id="rId203" Type="http://schemas.openxmlformats.org/officeDocument/2006/relationships/image" Target="media/image142.png"/><Relationship Id="rId204" Type="http://schemas.openxmlformats.org/officeDocument/2006/relationships/image" Target="media/image143.png"/><Relationship Id="rId205" Type="http://schemas.openxmlformats.org/officeDocument/2006/relationships/image" Target="media/image144.png"/><Relationship Id="rId206" Type="http://schemas.openxmlformats.org/officeDocument/2006/relationships/image" Target="media/image145.png"/><Relationship Id="rId207" Type="http://schemas.openxmlformats.org/officeDocument/2006/relationships/image" Target="media/image146.png"/><Relationship Id="rId208" Type="http://schemas.openxmlformats.org/officeDocument/2006/relationships/image" Target="media/image147.png"/><Relationship Id="rId209" Type="http://schemas.openxmlformats.org/officeDocument/2006/relationships/image" Target="media/image148.png"/><Relationship Id="rId210" Type="http://schemas.openxmlformats.org/officeDocument/2006/relationships/image" Target="media/image149.png"/><Relationship Id="rId211" Type="http://schemas.openxmlformats.org/officeDocument/2006/relationships/image" Target="media/image150.png"/><Relationship Id="rId212" Type="http://schemas.openxmlformats.org/officeDocument/2006/relationships/image" Target="media/image151.png"/><Relationship Id="rId213" Type="http://schemas.openxmlformats.org/officeDocument/2006/relationships/image" Target="media/image152.png"/><Relationship Id="rId214" Type="http://schemas.openxmlformats.org/officeDocument/2006/relationships/image" Target="media/image153.png"/><Relationship Id="rId215" Type="http://schemas.openxmlformats.org/officeDocument/2006/relationships/image" Target="media/image154.png"/><Relationship Id="rId216" Type="http://schemas.openxmlformats.org/officeDocument/2006/relationships/image" Target="media/image155.png"/><Relationship Id="rId217" Type="http://schemas.openxmlformats.org/officeDocument/2006/relationships/image" Target="media/image156.png"/><Relationship Id="rId218" Type="http://schemas.openxmlformats.org/officeDocument/2006/relationships/image" Target="media/image157.png"/><Relationship Id="rId219" Type="http://schemas.openxmlformats.org/officeDocument/2006/relationships/image" Target="media/image158.png"/><Relationship Id="rId220" Type="http://schemas.openxmlformats.org/officeDocument/2006/relationships/image" Target="media/image159.png"/><Relationship Id="rId221" Type="http://schemas.openxmlformats.org/officeDocument/2006/relationships/image" Target="media/image160.png"/><Relationship Id="rId222" Type="http://schemas.openxmlformats.org/officeDocument/2006/relationships/image" Target="media/image161.png"/><Relationship Id="rId223" Type="http://schemas.openxmlformats.org/officeDocument/2006/relationships/header" Target="header12.xml"/><Relationship Id="rId224" Type="http://schemas.openxmlformats.org/officeDocument/2006/relationships/footer" Target="footer12.xml"/><Relationship Id="rId225" Type="http://schemas.openxmlformats.org/officeDocument/2006/relationships/image" Target="media/image162.png"/><Relationship Id="rId226" Type="http://schemas.openxmlformats.org/officeDocument/2006/relationships/image" Target="media/image163.png"/><Relationship Id="rId227" Type="http://schemas.openxmlformats.org/officeDocument/2006/relationships/image" Target="media/image164.png"/><Relationship Id="rId228" Type="http://schemas.openxmlformats.org/officeDocument/2006/relationships/image" Target="media/image165.png"/><Relationship Id="rId229" Type="http://schemas.openxmlformats.org/officeDocument/2006/relationships/image" Target="media/image166.png"/><Relationship Id="rId230" Type="http://schemas.openxmlformats.org/officeDocument/2006/relationships/image" Target="media/image167.png"/><Relationship Id="rId231" Type="http://schemas.openxmlformats.org/officeDocument/2006/relationships/image" Target="media/image168.png"/><Relationship Id="rId232" Type="http://schemas.openxmlformats.org/officeDocument/2006/relationships/image" Target="media/image169.png"/><Relationship Id="rId233" Type="http://schemas.openxmlformats.org/officeDocument/2006/relationships/image" Target="media/image170.png"/><Relationship Id="rId234" Type="http://schemas.openxmlformats.org/officeDocument/2006/relationships/image" Target="media/image171.png"/><Relationship Id="rId235" Type="http://schemas.openxmlformats.org/officeDocument/2006/relationships/image" Target="media/image172.png"/><Relationship Id="rId236" Type="http://schemas.openxmlformats.org/officeDocument/2006/relationships/image" Target="media/image173.png"/><Relationship Id="rId237" Type="http://schemas.openxmlformats.org/officeDocument/2006/relationships/image" Target="media/image174.png"/><Relationship Id="rId238" Type="http://schemas.openxmlformats.org/officeDocument/2006/relationships/image" Target="media/image175.png"/><Relationship Id="rId239" Type="http://schemas.openxmlformats.org/officeDocument/2006/relationships/image" Target="media/image176.png"/><Relationship Id="rId240" Type="http://schemas.openxmlformats.org/officeDocument/2006/relationships/image" Target="media/image177.png"/><Relationship Id="rId241" Type="http://schemas.openxmlformats.org/officeDocument/2006/relationships/image" Target="media/image178.png"/><Relationship Id="rId242" Type="http://schemas.openxmlformats.org/officeDocument/2006/relationships/header" Target="header13.xml"/><Relationship Id="rId243" Type="http://schemas.openxmlformats.org/officeDocument/2006/relationships/footer" Target="footer13.xml"/><Relationship Id="rId244" Type="http://schemas.openxmlformats.org/officeDocument/2006/relationships/image" Target="media/image179.png"/><Relationship Id="rId245" Type="http://schemas.openxmlformats.org/officeDocument/2006/relationships/image" Target="media/image180.png"/><Relationship Id="rId246" Type="http://schemas.openxmlformats.org/officeDocument/2006/relationships/image" Target="media/image181.png"/><Relationship Id="rId247" Type="http://schemas.openxmlformats.org/officeDocument/2006/relationships/image" Target="media/image182.png"/><Relationship Id="rId248" Type="http://schemas.openxmlformats.org/officeDocument/2006/relationships/image" Target="media/image183.png"/><Relationship Id="rId249" Type="http://schemas.openxmlformats.org/officeDocument/2006/relationships/image" Target="media/image184.png"/><Relationship Id="rId250" Type="http://schemas.openxmlformats.org/officeDocument/2006/relationships/image" Target="media/image185.png"/><Relationship Id="rId251" Type="http://schemas.openxmlformats.org/officeDocument/2006/relationships/image" Target="media/image186.png"/><Relationship Id="rId252" Type="http://schemas.openxmlformats.org/officeDocument/2006/relationships/image" Target="media/image187.png"/><Relationship Id="rId253" Type="http://schemas.openxmlformats.org/officeDocument/2006/relationships/image" Target="media/image188.png"/><Relationship Id="rId254" Type="http://schemas.openxmlformats.org/officeDocument/2006/relationships/image" Target="media/image189.png"/><Relationship Id="rId255" Type="http://schemas.openxmlformats.org/officeDocument/2006/relationships/image" Target="media/image190.png"/><Relationship Id="rId256" Type="http://schemas.openxmlformats.org/officeDocument/2006/relationships/image" Target="media/image191.png"/><Relationship Id="rId257" Type="http://schemas.openxmlformats.org/officeDocument/2006/relationships/image" Target="media/image192.png"/><Relationship Id="rId258" Type="http://schemas.openxmlformats.org/officeDocument/2006/relationships/image" Target="media/image193.png"/><Relationship Id="rId259" Type="http://schemas.openxmlformats.org/officeDocument/2006/relationships/image" Target="media/image194.png"/><Relationship Id="rId260" Type="http://schemas.openxmlformats.org/officeDocument/2006/relationships/hyperlink" Target="http://apps.who.int/iris/bitstream/handle/10665/251655/9789241549868-eng.pdf?sequence=1" TargetMode="External"/><Relationship Id="rId261" Type="http://schemas.openxmlformats.org/officeDocument/2006/relationships/hyperlink" Target="http://www.who.int/hiv/pub/prep/prep-implementation-tool/en/" TargetMode="External"/><Relationship Id="rId262" Type="http://schemas.openxmlformats.org/officeDocument/2006/relationships/hyperlink" Target="http://apps.who.int/iris/bitstream/handle/10665/44202/9789241547888_eng.pdf?sequence=1&amp;amp;isAllowed=y" TargetMode="External"/><Relationship Id="rId263" Type="http://schemas.openxmlformats.org/officeDocument/2006/relationships/hyperlink" Target="http://apps.who.int/iris/bitstream/handle/10665/179870/9789241508926_eng.pdf?sequence=1" TargetMode="External"/><Relationship Id="rId264" Type="http://schemas.openxmlformats.org/officeDocument/2006/relationships/header" Target="header14.xml"/><Relationship Id="rId265" Type="http://schemas.openxmlformats.org/officeDocument/2006/relationships/footer" Target="footer14.xml"/><Relationship Id="rId266" Type="http://schemas.openxmlformats.org/officeDocument/2006/relationships/image" Target="media/image195.png"/><Relationship Id="rId267" Type="http://schemas.openxmlformats.org/officeDocument/2006/relationships/image" Target="media/image196.png"/><Relationship Id="rId268" Type="http://schemas.openxmlformats.org/officeDocument/2006/relationships/image" Target="media/image197.png"/><Relationship Id="rId269" Type="http://schemas.openxmlformats.org/officeDocument/2006/relationships/image" Target="media/image198.png"/><Relationship Id="rId270" Type="http://schemas.openxmlformats.org/officeDocument/2006/relationships/image" Target="media/image199.png"/><Relationship Id="rId271" Type="http://schemas.openxmlformats.org/officeDocument/2006/relationships/image" Target="media/image200.png"/><Relationship Id="rId272" Type="http://schemas.openxmlformats.org/officeDocument/2006/relationships/image" Target="media/image201.png"/><Relationship Id="rId273" Type="http://schemas.openxmlformats.org/officeDocument/2006/relationships/image" Target="media/image202.png"/><Relationship Id="rId274" Type="http://schemas.openxmlformats.org/officeDocument/2006/relationships/image" Target="media/image203.png"/><Relationship Id="rId275" Type="http://schemas.openxmlformats.org/officeDocument/2006/relationships/image" Target="media/image204.png"/><Relationship Id="rId276" Type="http://schemas.openxmlformats.org/officeDocument/2006/relationships/image" Target="media/image205.png"/><Relationship Id="rId277" Type="http://schemas.openxmlformats.org/officeDocument/2006/relationships/image" Target="media/image206.png"/><Relationship Id="rId278" Type="http://schemas.openxmlformats.org/officeDocument/2006/relationships/image" Target="media/image207.png"/><Relationship Id="rId279" Type="http://schemas.openxmlformats.org/officeDocument/2006/relationships/image" Target="media/image208.png"/><Relationship Id="rId280" Type="http://schemas.openxmlformats.org/officeDocument/2006/relationships/image" Target="media/image209.png"/><Relationship Id="rId281" Type="http://schemas.openxmlformats.org/officeDocument/2006/relationships/image" Target="media/image210.png"/><Relationship Id="rId282" Type="http://schemas.openxmlformats.org/officeDocument/2006/relationships/image" Target="media/image211.png"/><Relationship Id="rId283" Type="http://schemas.openxmlformats.org/officeDocument/2006/relationships/image" Target="media/image212.png"/><Relationship Id="rId284" Type="http://schemas.openxmlformats.org/officeDocument/2006/relationships/image" Target="media/image213.png"/><Relationship Id="rId285" Type="http://schemas.openxmlformats.org/officeDocument/2006/relationships/hyperlink" Target="http://www.who.int/diagnostics_laboratory/evaluations/pq-list/hiv-vrl/public_report/en/" TargetMode="External"/><Relationship Id="rId286" Type="http://schemas.openxmlformats.org/officeDocument/2006/relationships/hyperlink" Target="http://www.who.int/hiv/pub/arv/arv-2016/en/" TargetMode="External"/><Relationship Id="rId287" Type="http://schemas.openxmlformats.org/officeDocument/2006/relationships/hyperlink" Target="http://apps.who.int/iris/bitstream/handle/10665/260399/9789241550277-eng.pdf?sequence=1" TargetMode="External"/><Relationship Id="rId288" Type="http://schemas.openxmlformats.org/officeDocument/2006/relationships/header" Target="header15.xml"/><Relationship Id="rId289" Type="http://schemas.openxmlformats.org/officeDocument/2006/relationships/footer" Target="footer15.xml"/><Relationship Id="rId290" Type="http://schemas.openxmlformats.org/officeDocument/2006/relationships/image" Target="media/image214.png"/><Relationship Id="rId291" Type="http://schemas.openxmlformats.org/officeDocument/2006/relationships/image" Target="media/image215.png"/><Relationship Id="rId292" Type="http://schemas.openxmlformats.org/officeDocument/2006/relationships/image" Target="media/image216.png"/><Relationship Id="rId293" Type="http://schemas.openxmlformats.org/officeDocument/2006/relationships/image" Target="media/image217.png"/><Relationship Id="rId294" Type="http://schemas.openxmlformats.org/officeDocument/2006/relationships/header" Target="header16.xml"/><Relationship Id="rId295" Type="http://schemas.openxmlformats.org/officeDocument/2006/relationships/footer" Target="footer16.xml"/><Relationship Id="rId296" Type="http://schemas.openxmlformats.org/officeDocument/2006/relationships/image" Target="media/image218.png"/><Relationship Id="rId297" Type="http://schemas.openxmlformats.org/officeDocument/2006/relationships/image" Target="media/image219.png"/><Relationship Id="rId298" Type="http://schemas.openxmlformats.org/officeDocument/2006/relationships/image" Target="media/image220.png"/><Relationship Id="rId299" Type="http://schemas.openxmlformats.org/officeDocument/2006/relationships/hyperlink" Target="http://apps.who.int/iris/bitstream/10665/" TargetMode="External"/><Relationship Id="rId300" Type="http://schemas.openxmlformats.org/officeDocument/2006/relationships/header" Target="header17.xml"/><Relationship Id="rId301" Type="http://schemas.openxmlformats.org/officeDocument/2006/relationships/footer" Target="footer17.xml"/><Relationship Id="rId302" Type="http://schemas.openxmlformats.org/officeDocument/2006/relationships/image" Target="media/image221.png"/><Relationship Id="rId303" Type="http://schemas.openxmlformats.org/officeDocument/2006/relationships/image" Target="media/image222.png"/><Relationship Id="rId304" Type="http://schemas.openxmlformats.org/officeDocument/2006/relationships/image" Target="media/image223.png"/><Relationship Id="rId305" Type="http://schemas.openxmlformats.org/officeDocument/2006/relationships/image" Target="media/image224.png"/><Relationship Id="rId306" Type="http://schemas.openxmlformats.org/officeDocument/2006/relationships/image" Target="media/image225.png"/><Relationship Id="rId307" Type="http://schemas.openxmlformats.org/officeDocument/2006/relationships/image" Target="media/image226.png"/><Relationship Id="rId308" Type="http://schemas.openxmlformats.org/officeDocument/2006/relationships/image" Target="media/image227.png"/><Relationship Id="rId309" Type="http://schemas.openxmlformats.org/officeDocument/2006/relationships/image" Target="media/image228.png"/><Relationship Id="rId310" Type="http://schemas.openxmlformats.org/officeDocument/2006/relationships/image" Target="media/image229.png"/><Relationship Id="rId311" Type="http://schemas.openxmlformats.org/officeDocument/2006/relationships/image" Target="media/image230.png"/><Relationship Id="rId312" Type="http://schemas.openxmlformats.org/officeDocument/2006/relationships/image" Target="media/image231.png"/><Relationship Id="rId313" Type="http://schemas.openxmlformats.org/officeDocument/2006/relationships/image" Target="media/image232.png"/><Relationship Id="rId314" Type="http://schemas.openxmlformats.org/officeDocument/2006/relationships/image" Target="media/image233.png"/><Relationship Id="rId315" Type="http://schemas.openxmlformats.org/officeDocument/2006/relationships/image" Target="media/image234.png"/><Relationship Id="rId316" Type="http://schemas.openxmlformats.org/officeDocument/2006/relationships/image" Target="media/image235.png"/><Relationship Id="rId317" Type="http://schemas.openxmlformats.org/officeDocument/2006/relationships/image" Target="media/image236.png"/><Relationship Id="rId318" Type="http://schemas.openxmlformats.org/officeDocument/2006/relationships/hyperlink" Target="http://apps.who.int/iris/bitstream/handle/10665/254792/WHO-HTM-TB-2017.04-eng.pdf%3Bjsessionid%3DE02D0994930EDBD9A4BC5BB3D3A28568?sequence=1" TargetMode="External"/><Relationship Id="rId319" Type="http://schemas.openxmlformats.org/officeDocument/2006/relationships/hyperlink" Target="http://apps.who.int/iris/bitstream/10665/112472/1/9789241506335_eng.pdf" TargetMode="External"/><Relationship Id="rId320" Type="http://schemas.openxmlformats.org/officeDocument/2006/relationships/hyperlink" Target="http://apps.who.int/iris/bitstream/10665/250586/1/9789241511261-eng.pdf?ua=1" TargetMode="External"/><Relationship Id="rId321" Type="http://schemas.openxmlformats.org/officeDocument/2006/relationships/hyperlink" Target="http://apps.who.int/iris/bitstream/handle/10665/246131/9789241510561-eng.pdf?sequence=1" TargetMode="External"/><Relationship Id="rId322" Type="http://schemas.openxmlformats.org/officeDocument/2006/relationships/header" Target="header18.xml"/><Relationship Id="rId323" Type="http://schemas.openxmlformats.org/officeDocument/2006/relationships/footer" Target="footer18.xml"/><Relationship Id="rId324" Type="http://schemas.openxmlformats.org/officeDocument/2006/relationships/image" Target="media/image237.png"/><Relationship Id="rId325" Type="http://schemas.openxmlformats.org/officeDocument/2006/relationships/image" Target="media/image238.png"/><Relationship Id="rId326" Type="http://schemas.openxmlformats.org/officeDocument/2006/relationships/image" Target="media/image239.png"/><Relationship Id="rId327" Type="http://schemas.openxmlformats.org/officeDocument/2006/relationships/image" Target="media/image240.png"/><Relationship Id="rId328" Type="http://schemas.openxmlformats.org/officeDocument/2006/relationships/image" Target="media/image241.png"/><Relationship Id="rId329" Type="http://schemas.openxmlformats.org/officeDocument/2006/relationships/image" Target="media/image242.png"/><Relationship Id="rId330" Type="http://schemas.openxmlformats.org/officeDocument/2006/relationships/image" Target="media/image243.png"/><Relationship Id="rId331" Type="http://schemas.openxmlformats.org/officeDocument/2006/relationships/hyperlink" Target="http://www.who.int/tb/publications/2018/WHO_technical_report_concentrations_TB_drug_susceptibility/en/" TargetMode="External"/><Relationship Id="rId332" Type="http://schemas.openxmlformats.org/officeDocument/2006/relationships/hyperlink" Target="http://apps.who.int/iris/bitstream/handle/10665/193633/9789241509633_eng.pdf%3Bjsessionid%3D9A9EB886DC17658BF7FDF86758D7A9F9?sequence=1" TargetMode="External"/><Relationship Id="rId333" Type="http://schemas.openxmlformats.org/officeDocument/2006/relationships/image" Target="media/image244.png"/><Relationship Id="rId334" Type="http://schemas.openxmlformats.org/officeDocument/2006/relationships/header" Target="header19.xml"/><Relationship Id="rId335" Type="http://schemas.openxmlformats.org/officeDocument/2006/relationships/footer" Target="footer19.xml"/><Relationship Id="rId336" Type="http://schemas.openxmlformats.org/officeDocument/2006/relationships/image" Target="media/image245.png"/><Relationship Id="rId337" Type="http://schemas.openxmlformats.org/officeDocument/2006/relationships/image" Target="media/image246.png"/><Relationship Id="rId338" Type="http://schemas.openxmlformats.org/officeDocument/2006/relationships/image" Target="media/image247.png"/><Relationship Id="rId339" Type="http://schemas.openxmlformats.org/officeDocument/2006/relationships/image" Target="media/image248.png"/><Relationship Id="rId340" Type="http://schemas.openxmlformats.org/officeDocument/2006/relationships/image" Target="media/image249.png"/><Relationship Id="rId341" Type="http://schemas.openxmlformats.org/officeDocument/2006/relationships/image" Target="media/image250.png"/><Relationship Id="rId342" Type="http://schemas.openxmlformats.org/officeDocument/2006/relationships/image" Target="media/image251.png"/><Relationship Id="rId343" Type="http://schemas.openxmlformats.org/officeDocument/2006/relationships/image" Target="media/image252.png"/><Relationship Id="rId344" Type="http://schemas.openxmlformats.org/officeDocument/2006/relationships/image" Target="media/image253.png"/><Relationship Id="rId345" Type="http://schemas.openxmlformats.org/officeDocument/2006/relationships/hyperlink" Target="http://www.who.int/diagnostics_laboratory/evaluations/pq-list/public_report_hpv/en/" TargetMode="External"/><Relationship Id="rId346" Type="http://schemas.openxmlformats.org/officeDocument/2006/relationships/hyperlink" Target="http://apps.who.int/iris/bitstream/handle/10665/70505/WHO_IVB_10.12_eng.pdf?sequence=1" TargetMode="External"/><Relationship Id="rId347" Type="http://schemas.openxmlformats.org/officeDocument/2006/relationships/header" Target="header20.xml"/><Relationship Id="rId348" Type="http://schemas.openxmlformats.org/officeDocument/2006/relationships/footer" Target="footer20.xml"/><Relationship Id="rId349" Type="http://schemas.openxmlformats.org/officeDocument/2006/relationships/hyperlink" Target="http://www.wpro.who.int/health_technology/documents/asia_pacific_laboratory_strategy2010-2015.pdf?ua=1" TargetMode="External"/><Relationship Id="rId350" Type="http://schemas.openxmlformats.org/officeDocument/2006/relationships/hyperlink" Target="http://apps.who.int/iris/bitstream/handle/10665/208825/9789241549684_eng.pdf?sequence=1" TargetMode="External"/><Relationship Id="rId351" Type="http://schemas.openxmlformats.org/officeDocument/2006/relationships/hyperlink" Target="http://apps.who.int/iris/bitstream/handle/10665/260420/WHO-NMH-NVI-18.3-eng.pdf%3Bjsessionid%3D1FEE12C3923A2885107C0D9EEFBB82B0?sequence=1" TargetMode="External"/><Relationship Id="rId352" Type="http://schemas.openxmlformats.org/officeDocument/2006/relationships/hyperlink" Target="http://www.who.int/diabetes/publications/diagnosis_diabetes2011/en/" TargetMode="External"/><Relationship Id="rId353" Type="http://schemas.openxmlformats.org/officeDocument/2006/relationships/hyperlink" Target="http://apps.who.int/iris/bitstream/handle/10665/42295/9241545305.pdf?sequence=1" TargetMode="External"/><Relationship Id="rId35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Maurine</dc:creator>
  <dcterms:created xsi:type="dcterms:W3CDTF">2018-05-17T07:29:00Z</dcterms:created>
  <dcterms:modified xsi:type="dcterms:W3CDTF">2018-05-17T07:29:00Z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2010</vt:lpwstr>
  </property>
  <property fmtid="{D5CDD505-2E9C-101B-9397-08002B2CF9AE}" pid="4" name="LastSaved">
    <vt:filetime>2018-05-17T00:00:00Z</vt:filetime>
  </property>
</Properties>
</file>