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9D8" w:rsidRDefault="003E2B0A" w:rsidP="003171B8">
      <w:pPr>
        <w:autoSpaceDE w:val="0"/>
        <w:autoSpaceDN w:val="0"/>
        <w:spacing w:before="100" w:beforeAutospacing="1" w:after="100" w:afterAutospacing="1"/>
        <w:jc w:val="center"/>
      </w:pPr>
      <w:bookmarkStart w:id="0" w:name="_GoBack"/>
      <w:bookmarkEnd w:id="0"/>
      <w:r>
        <w:rPr>
          <w:rFonts w:ascii="方正小标宋_GBK" w:eastAsia="方正小标宋_GBK" w:hint="eastAsia"/>
          <w:color w:val="000000"/>
          <w:sz w:val="36"/>
          <w:szCs w:val="36"/>
        </w:rPr>
        <w:t>指导性医疗器械国家标准计划项目建议书</w:t>
      </w:r>
    </w:p>
    <w:tbl>
      <w:tblPr>
        <w:tblW w:w="9108" w:type="dxa"/>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1242"/>
        <w:gridCol w:w="1764"/>
        <w:gridCol w:w="280"/>
        <w:gridCol w:w="115"/>
        <w:gridCol w:w="207"/>
        <w:gridCol w:w="1283"/>
        <w:gridCol w:w="322"/>
        <w:gridCol w:w="123"/>
        <w:gridCol w:w="100"/>
        <w:gridCol w:w="729"/>
        <w:gridCol w:w="2943"/>
      </w:tblGrid>
      <w:tr w:rsidR="00E029D8" w:rsidTr="00D90202">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r>
              <w:rPr>
                <w:rFonts w:ascii="仿宋_GB2312" w:eastAsia="仿宋_GB2312" w:hint="eastAsia"/>
              </w:rPr>
              <w:t>项目名称</w:t>
            </w:r>
          </w:p>
          <w:p w:rsidR="00E029D8" w:rsidRDefault="003E2B0A">
            <w:pPr>
              <w:autoSpaceDE w:val="0"/>
              <w:autoSpaceDN w:val="0"/>
              <w:spacing w:before="100" w:beforeAutospacing="1" w:after="100" w:afterAutospacing="1"/>
            </w:pPr>
            <w:r>
              <w:rPr>
                <w:rFonts w:ascii="仿宋_GB2312" w:eastAsia="仿宋_GB2312" w:hint="eastAsia"/>
              </w:rPr>
              <w:t>（中文）</w:t>
            </w:r>
          </w:p>
        </w:tc>
        <w:tc>
          <w:tcPr>
            <w:tcW w:w="7866"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bookmarkStart w:id="1" w:name="xmzwmc"/>
            <w:r>
              <w:rPr>
                <w:rFonts w:hint="eastAsia"/>
              </w:rPr>
              <w:t>医疗器械软件 第3部分 软件生存周期过程（YY/T 0664）的过程参考模型</w:t>
            </w:r>
            <w:bookmarkEnd w:id="1"/>
            <w:r>
              <w:rPr>
                <w:rFonts w:ascii="仿宋_GB2312" w:eastAsia="仿宋_GB2312" w:hint="eastAsia"/>
                <w:color w:val="000000"/>
              </w:rPr>
              <w:t> </w:t>
            </w:r>
          </w:p>
        </w:tc>
      </w:tr>
      <w:tr w:rsidR="00E029D8" w:rsidTr="00D90202">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r>
              <w:rPr>
                <w:rFonts w:ascii="仿宋_GB2312" w:eastAsia="仿宋_GB2312" w:hint="eastAsia"/>
                <w:color w:val="000000"/>
              </w:rPr>
              <w:t>项目名称</w:t>
            </w:r>
          </w:p>
          <w:p w:rsidR="00E029D8" w:rsidRDefault="003E2B0A">
            <w:pPr>
              <w:autoSpaceDE w:val="0"/>
              <w:autoSpaceDN w:val="0"/>
              <w:spacing w:before="100" w:beforeAutospacing="1" w:after="100" w:afterAutospacing="1"/>
            </w:pPr>
            <w:r>
              <w:rPr>
                <w:rFonts w:ascii="仿宋_GB2312" w:eastAsia="仿宋_GB2312" w:hint="eastAsia"/>
                <w:color w:val="000000"/>
              </w:rPr>
              <w:t>（英文）</w:t>
            </w:r>
          </w:p>
        </w:tc>
        <w:tc>
          <w:tcPr>
            <w:tcW w:w="7866" w:type="dxa"/>
            <w:gridSpan w:val="10"/>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bookmarkStart w:id="2" w:name="xmywmc"/>
            <w:r>
              <w:rPr>
                <w:rFonts w:hint="eastAsia"/>
              </w:rPr>
              <w:t xml:space="preserve">Medical device software Part3: Process reference model of medical device software life cycle processes(IEC 62304) </w:t>
            </w:r>
            <w:bookmarkEnd w:id="2"/>
            <w:r>
              <w:rPr>
                <w:rFonts w:ascii="仿宋_GB2312" w:eastAsia="仿宋_GB2312" w:hint="eastAsia"/>
                <w:color w:val="000000"/>
              </w:rPr>
              <w:t> </w:t>
            </w:r>
          </w:p>
        </w:tc>
      </w:tr>
      <w:tr w:rsidR="00E029D8" w:rsidTr="00D90202">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r>
              <w:rPr>
                <w:rFonts w:ascii="仿宋_GB2312" w:eastAsia="仿宋_GB2312" w:hint="eastAsia"/>
                <w:color w:val="000000"/>
              </w:rPr>
              <w:t>起草单位</w:t>
            </w:r>
          </w:p>
        </w:tc>
        <w:tc>
          <w:tcPr>
            <w:tcW w:w="204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bookmarkStart w:id="3" w:name="qicdanw"/>
            <w:r>
              <w:rPr>
                <w:rFonts w:hint="eastAsia"/>
              </w:rPr>
              <w:t>北京</w:t>
            </w:r>
            <w:proofErr w:type="gramStart"/>
            <w:r>
              <w:rPr>
                <w:rFonts w:hint="eastAsia"/>
              </w:rPr>
              <w:t>国医械华光</w:t>
            </w:r>
            <w:proofErr w:type="gramEnd"/>
            <w:r>
              <w:rPr>
                <w:rFonts w:hint="eastAsia"/>
              </w:rPr>
              <w:t>认证有限公司</w:t>
            </w:r>
            <w:bookmarkEnd w:id="3"/>
            <w:r w:rsidR="003171B8">
              <w:rPr>
                <w:rFonts w:hint="eastAsia"/>
              </w:rPr>
              <w:t>、</w:t>
            </w:r>
            <w:r>
              <w:rPr>
                <w:rFonts w:hint="eastAsia"/>
              </w:rPr>
              <w:t xml:space="preserve">中国食品药品检定研究院 </w:t>
            </w:r>
            <w:r>
              <w:rPr>
                <w:rFonts w:ascii="仿宋_GB2312" w:eastAsia="仿宋_GB2312" w:hint="eastAsia"/>
                <w:color w:val="000000"/>
              </w:rPr>
              <w:t> </w:t>
            </w:r>
          </w:p>
        </w:tc>
        <w:tc>
          <w:tcPr>
            <w:tcW w:w="2150"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r>
              <w:rPr>
                <w:rFonts w:ascii="仿宋_GB2312" w:eastAsia="仿宋_GB2312" w:hint="eastAsia"/>
                <w:color w:val="000000"/>
              </w:rPr>
              <w:t>技委会或归口单位国内代号及名称</w:t>
            </w:r>
          </w:p>
        </w:tc>
        <w:tc>
          <w:tcPr>
            <w:tcW w:w="367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bookmarkStart w:id="4" w:name="guikdanw"/>
            <w:r>
              <w:rPr>
                <w:rFonts w:hint="eastAsia"/>
              </w:rPr>
              <w:t>SAC/TC221全国医疗器械质量管理和通用要求标准化技术委员会</w:t>
            </w:r>
            <w:bookmarkEnd w:id="4"/>
            <w:r>
              <w:rPr>
                <w:rFonts w:ascii="仿宋_GB2312" w:eastAsia="仿宋_GB2312" w:hint="eastAsia"/>
                <w:color w:val="000000"/>
              </w:rPr>
              <w:t> </w:t>
            </w:r>
          </w:p>
        </w:tc>
      </w:tr>
      <w:tr w:rsidR="00E029D8" w:rsidTr="00D90202">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r>
              <w:rPr>
                <w:rFonts w:ascii="仿宋_GB2312" w:eastAsia="仿宋_GB2312" w:hint="eastAsia"/>
              </w:rPr>
              <w:t>制定或修订</w:t>
            </w:r>
          </w:p>
        </w:tc>
        <w:tc>
          <w:tcPr>
            <w:tcW w:w="204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bookmarkStart w:id="5" w:name="sbleix"/>
            <w:r>
              <w:rPr>
                <w:rFonts w:hint="eastAsia"/>
              </w:rPr>
              <w:t>制定</w:t>
            </w:r>
            <w:bookmarkEnd w:id="5"/>
            <w:r>
              <w:rPr>
                <w:rFonts w:hint="eastAsia"/>
              </w:rPr>
              <w:t xml:space="preserve"> </w:t>
            </w:r>
            <w:r>
              <w:rPr>
                <w:rFonts w:ascii="仿宋_GB2312" w:eastAsia="仿宋_GB2312" w:hint="eastAsia"/>
                <w:color w:val="000000"/>
              </w:rPr>
              <w:t> </w:t>
            </w:r>
          </w:p>
        </w:tc>
        <w:tc>
          <w:tcPr>
            <w:tcW w:w="2150"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r>
              <w:rPr>
                <w:rFonts w:ascii="仿宋_GB2312" w:eastAsia="仿宋_GB2312" w:hint="eastAsia"/>
                <w:color w:val="000000"/>
              </w:rPr>
              <w:t>被修订标准编号</w:t>
            </w:r>
          </w:p>
        </w:tc>
        <w:tc>
          <w:tcPr>
            <w:tcW w:w="367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rPr>
                <w:rFonts w:eastAsia="仿宋_GB2312"/>
              </w:rPr>
            </w:pPr>
            <w:bookmarkStart w:id="6" w:name="bzbhaoOld"/>
            <w:bookmarkEnd w:id="6"/>
            <w:r>
              <w:rPr>
                <w:rFonts w:ascii="仿宋_GB2312" w:eastAsia="仿宋_GB2312" w:hint="eastAsia"/>
                <w:color w:val="000000"/>
              </w:rPr>
              <w:t> </w:t>
            </w:r>
            <w:r>
              <w:rPr>
                <w:rFonts w:ascii="仿宋_GB2312" w:eastAsia="仿宋_GB2312" w:hint="eastAsia"/>
                <w:color w:val="000000"/>
              </w:rPr>
              <w:t>/</w:t>
            </w:r>
          </w:p>
        </w:tc>
      </w:tr>
      <w:tr w:rsidR="00E029D8" w:rsidTr="00D90202">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r>
              <w:rPr>
                <w:rFonts w:ascii="仿宋_GB2312" w:eastAsia="仿宋_GB2312" w:hint="eastAsia"/>
                <w:color w:val="000000"/>
              </w:rPr>
              <w:t>拟采用国际标准名称（中文）</w:t>
            </w:r>
          </w:p>
        </w:tc>
        <w:tc>
          <w:tcPr>
            <w:tcW w:w="7866" w:type="dxa"/>
            <w:gridSpan w:val="10"/>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bookmarkStart w:id="7" w:name="bzzwmc"/>
            <w:r>
              <w:rPr>
                <w:rFonts w:hint="eastAsia"/>
              </w:rPr>
              <w:t>医疗器械软件 第3部分 软件生存周期过程（YY/T 0664）的过程参考模型</w:t>
            </w:r>
            <w:bookmarkEnd w:id="7"/>
          </w:p>
        </w:tc>
      </w:tr>
      <w:tr w:rsidR="00E029D8" w:rsidTr="00D90202">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r>
              <w:rPr>
                <w:rFonts w:ascii="仿宋_GB2312" w:eastAsia="仿宋_GB2312" w:hint="eastAsia"/>
                <w:color w:val="000000"/>
              </w:rPr>
              <w:t>拟采用国际标准名称（英文）</w:t>
            </w:r>
          </w:p>
        </w:tc>
        <w:tc>
          <w:tcPr>
            <w:tcW w:w="7866" w:type="dxa"/>
            <w:gridSpan w:val="10"/>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bookmarkStart w:id="8" w:name="bzywmc"/>
            <w:r>
              <w:rPr>
                <w:rFonts w:hint="eastAsia"/>
              </w:rPr>
              <w:t>Medical device software Part3: Process reference model of medical device software life cycle processes(IEC 62304)</w:t>
            </w:r>
            <w:bookmarkEnd w:id="8"/>
          </w:p>
          <w:p w:rsidR="00E029D8" w:rsidRDefault="003E2B0A">
            <w:pPr>
              <w:autoSpaceDE w:val="0"/>
              <w:autoSpaceDN w:val="0"/>
              <w:spacing w:before="100" w:beforeAutospacing="1" w:after="100" w:afterAutospacing="1"/>
            </w:pPr>
            <w:r>
              <w:rPr>
                <w:rFonts w:ascii="仿宋_GB2312" w:eastAsia="仿宋_GB2312" w:hint="eastAsia"/>
                <w:color w:val="000000"/>
              </w:rPr>
              <w:t> </w:t>
            </w:r>
          </w:p>
        </w:tc>
      </w:tr>
      <w:tr w:rsidR="00E029D8" w:rsidTr="00D90202">
        <w:trPr>
          <w:trHeight w:val="90"/>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r>
              <w:rPr>
                <w:rFonts w:ascii="仿宋_GB2312" w:eastAsia="仿宋_GB2312" w:hint="eastAsia"/>
                <w:color w:val="000000"/>
              </w:rPr>
              <w:t>国际标准号</w:t>
            </w:r>
          </w:p>
        </w:tc>
        <w:tc>
          <w:tcPr>
            <w:tcW w:w="204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171B8">
            <w:bookmarkStart w:id="9" w:name="bzbhao"/>
            <w:r>
              <w:rPr>
                <w:rFonts w:hint="eastAsia"/>
              </w:rPr>
              <w:t xml:space="preserve">IEC/TR </w:t>
            </w:r>
            <w:r w:rsidR="003E2B0A">
              <w:rPr>
                <w:rFonts w:hint="eastAsia"/>
              </w:rPr>
              <w:t>80002-3</w:t>
            </w:r>
            <w:bookmarkEnd w:id="9"/>
            <w:r w:rsidR="00125F7F">
              <w:rPr>
                <w:rFonts w:hint="eastAsia"/>
              </w:rPr>
              <w:t>:2014</w:t>
            </w:r>
          </w:p>
        </w:tc>
        <w:tc>
          <w:tcPr>
            <w:tcW w:w="1927"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r>
              <w:rPr>
                <w:rFonts w:ascii="仿宋_GB2312" w:eastAsia="仿宋_GB2312" w:hint="eastAsia"/>
                <w:color w:val="000000"/>
              </w:rPr>
              <w:t>ICS分类号</w:t>
            </w:r>
          </w:p>
        </w:tc>
        <w:tc>
          <w:tcPr>
            <w:tcW w:w="3895"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bookmarkStart w:id="10" w:name="icshao"/>
            <w:r>
              <w:rPr>
                <w:rFonts w:hint="eastAsia"/>
              </w:rPr>
              <w:t>11.040.01;35.240.80</w:t>
            </w:r>
            <w:bookmarkEnd w:id="10"/>
            <w:r>
              <w:rPr>
                <w:rFonts w:ascii="仿宋_GB2312" w:eastAsia="仿宋_GB2312" w:hint="eastAsia"/>
                <w:color w:val="000000"/>
              </w:rPr>
              <w:t> </w:t>
            </w:r>
          </w:p>
        </w:tc>
      </w:tr>
      <w:tr w:rsidR="00E029D8" w:rsidTr="00D90202">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r>
              <w:rPr>
                <w:rFonts w:ascii="仿宋_GB2312" w:eastAsia="仿宋_GB2312" w:hint="eastAsia"/>
                <w:color w:val="000000"/>
              </w:rPr>
              <w:t>标准类别</w:t>
            </w:r>
            <w:r>
              <w:rPr>
                <w:rFonts w:ascii="仿宋_GB2312" w:eastAsia="仿宋_GB2312" w:hint="eastAsia"/>
              </w:rPr>
              <w:t>（注1）</w:t>
            </w:r>
          </w:p>
        </w:tc>
        <w:tc>
          <w:tcPr>
            <w:tcW w:w="204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bookmarkStart w:id="11" w:name="bzleib"/>
            <w:r>
              <w:rPr>
                <w:rFonts w:hint="eastAsia"/>
              </w:rPr>
              <w:t>管理标准</w:t>
            </w:r>
            <w:bookmarkEnd w:id="11"/>
            <w:r>
              <w:rPr>
                <w:rFonts w:ascii="仿宋_GB2312" w:eastAsia="仿宋_GB2312" w:hint="eastAsia"/>
              </w:rPr>
              <w:t> </w:t>
            </w:r>
          </w:p>
        </w:tc>
        <w:tc>
          <w:tcPr>
            <w:tcW w:w="1927"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r>
              <w:rPr>
                <w:rFonts w:ascii="仿宋_GB2312" w:eastAsia="仿宋_GB2312" w:hint="eastAsia"/>
              </w:rPr>
              <w:t>一致性程度标识</w:t>
            </w:r>
          </w:p>
        </w:tc>
        <w:tc>
          <w:tcPr>
            <w:tcW w:w="3895"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bookmarkStart w:id="12" w:name="yzxcdbz"/>
            <w:r>
              <w:rPr>
                <w:rFonts w:hint="eastAsia"/>
              </w:rPr>
              <w:t>MOD</w:t>
            </w:r>
            <w:bookmarkEnd w:id="12"/>
            <w:r>
              <w:rPr>
                <w:rFonts w:hint="eastAsia"/>
              </w:rPr>
              <w:t xml:space="preserve"> </w:t>
            </w:r>
            <w:r>
              <w:rPr>
                <w:rFonts w:ascii="仿宋_GB2312" w:eastAsia="仿宋_GB2312" w:hint="eastAsia"/>
              </w:rPr>
              <w:t> </w:t>
            </w:r>
          </w:p>
        </w:tc>
      </w:tr>
      <w:tr w:rsidR="00E029D8" w:rsidTr="00D90202">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r>
              <w:rPr>
                <w:rFonts w:ascii="仿宋_GB2312" w:eastAsia="仿宋_GB2312" w:hint="eastAsia"/>
                <w:color w:val="000000"/>
              </w:rPr>
              <w:t>计划起始时间</w:t>
            </w:r>
          </w:p>
        </w:tc>
        <w:tc>
          <w:tcPr>
            <w:tcW w:w="204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bookmarkStart w:id="13" w:name="xmksrq"/>
            <w:r>
              <w:rPr>
                <w:rFonts w:hint="eastAsia"/>
              </w:rPr>
              <w:t>2019年1月</w:t>
            </w:r>
            <w:bookmarkEnd w:id="13"/>
            <w:r>
              <w:rPr>
                <w:rFonts w:ascii="仿宋_GB2312" w:eastAsia="仿宋_GB2312" w:hint="eastAsia"/>
                <w:color w:val="000000"/>
              </w:rPr>
              <w:t> </w:t>
            </w:r>
          </w:p>
        </w:tc>
        <w:tc>
          <w:tcPr>
            <w:tcW w:w="1927"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r>
              <w:rPr>
                <w:rFonts w:ascii="仿宋_GB2312" w:eastAsia="仿宋_GB2312" w:hint="eastAsia"/>
                <w:color w:val="000000"/>
              </w:rPr>
              <w:t>计划完成时间</w:t>
            </w:r>
          </w:p>
        </w:tc>
        <w:tc>
          <w:tcPr>
            <w:tcW w:w="3895"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bookmarkStart w:id="14" w:name="xmjssrq"/>
            <w:r>
              <w:rPr>
                <w:rFonts w:hint="eastAsia"/>
              </w:rPr>
              <w:t>2020年10月</w:t>
            </w:r>
            <w:bookmarkEnd w:id="14"/>
            <w:r>
              <w:rPr>
                <w:rFonts w:ascii="仿宋_GB2312" w:eastAsia="仿宋_GB2312" w:hint="eastAsia"/>
                <w:b/>
                <w:bCs/>
                <w:color w:val="000000"/>
              </w:rPr>
              <w:t> </w:t>
            </w:r>
          </w:p>
        </w:tc>
      </w:tr>
      <w:tr w:rsidR="00E029D8" w:rsidTr="00D90202">
        <w:trPr>
          <w:trHeight w:val="1006"/>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r>
              <w:rPr>
                <w:rFonts w:ascii="仿宋_GB2312" w:eastAsia="仿宋_GB2312" w:hint="eastAsia"/>
                <w:color w:val="000000"/>
              </w:rPr>
              <w:t>目的、意义</w:t>
            </w:r>
          </w:p>
          <w:p w:rsidR="00E029D8" w:rsidRDefault="003E2B0A">
            <w:pPr>
              <w:autoSpaceDE w:val="0"/>
              <w:autoSpaceDN w:val="0"/>
              <w:spacing w:before="100" w:beforeAutospacing="1" w:after="100" w:afterAutospacing="1"/>
            </w:pPr>
            <w:r>
              <w:rPr>
                <w:rFonts w:ascii="仿宋_GB2312" w:eastAsia="仿宋_GB2312" w:hint="eastAsia"/>
                <w:color w:val="000000"/>
              </w:rPr>
              <w:t> </w:t>
            </w:r>
          </w:p>
        </w:tc>
        <w:tc>
          <w:tcPr>
            <w:tcW w:w="7866" w:type="dxa"/>
            <w:gridSpan w:val="10"/>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pPr>
              <w:spacing w:before="100" w:beforeAutospacing="1" w:after="100" w:afterAutospacing="1"/>
            </w:pPr>
            <w:bookmarkStart w:id="15" w:name="contentI"/>
            <w:r>
              <w:rPr>
                <w:rFonts w:ascii="仿宋_GB2312" w:eastAsia="仿宋_GB2312" w:hint="eastAsia"/>
                <w:color w:val="000000"/>
              </w:rPr>
              <w:t xml:space="preserve"> </w:t>
            </w:r>
            <w:bookmarkEnd w:id="15"/>
            <w:r>
              <w:rPr>
                <w:rFonts w:ascii="仿宋_GB2312" w:eastAsia="仿宋_GB2312" w:hint="eastAsia"/>
                <w:color w:val="000000"/>
              </w:rPr>
              <w:t xml:space="preserve"> </w:t>
            </w:r>
            <w:r w:rsidR="008C595C">
              <w:rPr>
                <w:rFonts w:ascii="仿宋_GB2312" w:eastAsia="仿宋_GB2312" w:hint="eastAsia"/>
                <w:color w:val="000000"/>
              </w:rPr>
              <w:t xml:space="preserve">  </w:t>
            </w:r>
            <w:r>
              <w:rPr>
                <w:rFonts w:ascii="仿宋_GB2312" w:eastAsia="仿宋_GB2312" w:hint="eastAsia"/>
                <w:color w:val="000000"/>
              </w:rPr>
              <w:t>本指导性技术文件提供了支持医疗器械软件安全设计和维护的生存周期过程框架，称为过程参考模型（PRM），目的是使医疗器械软件开发者能够在开发的医疗器械软件中兼容YY/T 0664的安全等级范围。过程参考模型也能够作为不同过程评估模型和方法的通用基础，确保评定的结果可使用通用的文本报告。同时，审查医疗器械软件过程的评定人员可利用过程参考模型为YY/T 0664过程输出提供审核检查清单和报告。</w:t>
            </w:r>
            <w:r>
              <w:rPr>
                <w:rFonts w:hint="eastAsia"/>
                <w:color w:val="000000"/>
              </w:rPr>
              <w:t> </w:t>
            </w:r>
          </w:p>
        </w:tc>
      </w:tr>
      <w:tr w:rsidR="00E029D8" w:rsidTr="00D90202">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r>
              <w:rPr>
                <w:rFonts w:ascii="仿宋_GB2312" w:eastAsia="仿宋_GB2312" w:hint="eastAsia"/>
                <w:color w:val="000000"/>
              </w:rPr>
              <w:t>范围和主要技术内容</w:t>
            </w:r>
          </w:p>
        </w:tc>
        <w:tc>
          <w:tcPr>
            <w:tcW w:w="7866" w:type="dxa"/>
            <w:gridSpan w:val="10"/>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ind w:firstLineChars="200" w:firstLine="480"/>
              <w:rPr>
                <w:rFonts w:ascii="仿宋_GB2312" w:eastAsia="仿宋_GB2312"/>
                <w:color w:val="000000"/>
              </w:rPr>
            </w:pPr>
            <w:bookmarkStart w:id="16" w:name="contentIi"/>
            <w:r>
              <w:rPr>
                <w:rFonts w:ascii="仿宋_GB2312" w:eastAsia="仿宋_GB2312" w:hint="eastAsia"/>
                <w:color w:val="000000"/>
              </w:rPr>
              <w:t>本指导性技术文件描述了医疗器械软件开发的过程参考模型，仅限于YY/T 0664</w:t>
            </w:r>
            <w:bookmarkEnd w:id="16"/>
            <w:r>
              <w:rPr>
                <w:rFonts w:hint="eastAsia"/>
                <w:color w:val="000000"/>
              </w:rPr>
              <w:t>—</w:t>
            </w:r>
            <w:r>
              <w:rPr>
                <w:rFonts w:ascii="仿宋_GB2312" w:eastAsia="仿宋_GB2312" w:hint="eastAsia"/>
                <w:color w:val="000000"/>
              </w:rPr>
              <w:t>20XX MOD IEC 62304：2015《医疗器械软件 软件生存周期过程》中描述的软件生存周期过程，是YY/T 0664</w:t>
            </w:r>
            <w:r>
              <w:rPr>
                <w:rFonts w:hint="eastAsia"/>
                <w:color w:val="000000"/>
              </w:rPr>
              <w:t>—</w:t>
            </w:r>
            <w:r>
              <w:rPr>
                <w:rFonts w:ascii="仿宋_GB2312" w:eastAsia="仿宋_GB2312" w:hint="eastAsia"/>
                <w:color w:val="000000"/>
              </w:rPr>
              <w:t>20XX和ISO/IEC 12207：2008《系统和软件工程 软件生存周期过程》</w:t>
            </w:r>
            <w:proofErr w:type="gramStart"/>
            <w:r>
              <w:rPr>
                <w:rFonts w:ascii="仿宋_GB2312" w:eastAsia="仿宋_GB2312" w:hint="eastAsia"/>
                <w:color w:val="000000"/>
              </w:rPr>
              <w:t>两标准</w:t>
            </w:r>
            <w:proofErr w:type="gramEnd"/>
            <w:r>
              <w:rPr>
                <w:rFonts w:ascii="仿宋_GB2312" w:eastAsia="仿宋_GB2312" w:hint="eastAsia"/>
                <w:color w:val="000000"/>
              </w:rPr>
              <w:t xml:space="preserve">要求相结合的结果。 </w:t>
            </w:r>
          </w:p>
          <w:p w:rsidR="00E029D8" w:rsidRDefault="003E2B0A">
            <w:pPr>
              <w:autoSpaceDE w:val="0"/>
              <w:autoSpaceDN w:val="0"/>
              <w:ind w:firstLineChars="200" w:firstLine="480"/>
              <w:rPr>
                <w:rFonts w:ascii="仿宋_GB2312" w:eastAsia="仿宋_GB2312"/>
                <w:color w:val="000000"/>
              </w:rPr>
            </w:pPr>
            <w:r>
              <w:rPr>
                <w:rFonts w:ascii="仿宋_GB2312" w:eastAsia="仿宋_GB2312" w:hint="eastAsia"/>
                <w:color w:val="000000"/>
              </w:rPr>
              <w:t>本指导性技术文件不涉及：</w:t>
            </w:r>
          </w:p>
          <w:p w:rsidR="00E029D8" w:rsidRDefault="003E2B0A">
            <w:pPr>
              <w:autoSpaceDE w:val="0"/>
              <w:autoSpaceDN w:val="0"/>
              <w:ind w:leftChars="200" w:left="480"/>
              <w:rPr>
                <w:rFonts w:ascii="仿宋_GB2312" w:eastAsia="仿宋_GB2312"/>
                <w:color w:val="000000"/>
              </w:rPr>
            </w:pPr>
            <w:r>
              <w:rPr>
                <w:rFonts w:ascii="仿宋_GB2312" w:eastAsia="仿宋_GB2312" w:hint="eastAsia"/>
                <w:color w:val="000000"/>
              </w:rPr>
              <w:t xml:space="preserve">——现有相关标准覆盖到的领域； </w:t>
            </w:r>
          </w:p>
          <w:p w:rsidR="00E029D8" w:rsidRDefault="003E2B0A">
            <w:pPr>
              <w:autoSpaceDE w:val="0"/>
              <w:autoSpaceDN w:val="0"/>
              <w:ind w:leftChars="200" w:left="480"/>
              <w:rPr>
                <w:rFonts w:ascii="仿宋_GB2312" w:eastAsia="仿宋_GB2312"/>
                <w:color w:val="000000"/>
              </w:rPr>
            </w:pPr>
            <w:r>
              <w:rPr>
                <w:rFonts w:ascii="仿宋_GB2312" w:eastAsia="仿宋_GB2312" w:hint="eastAsia"/>
                <w:color w:val="000000"/>
              </w:rPr>
              <w:t xml:space="preserve">——FDA指南文件；或 </w:t>
            </w:r>
          </w:p>
          <w:p w:rsidR="00E029D8" w:rsidRDefault="003E2B0A">
            <w:pPr>
              <w:autoSpaceDE w:val="0"/>
              <w:autoSpaceDN w:val="0"/>
              <w:ind w:leftChars="200" w:left="480"/>
              <w:rPr>
                <w:rFonts w:ascii="仿宋_GB2312" w:eastAsia="仿宋_GB2312"/>
                <w:color w:val="000000"/>
              </w:rPr>
            </w:pPr>
            <w:r>
              <w:rPr>
                <w:rFonts w:ascii="仿宋_GB2312" w:eastAsia="仿宋_GB2312" w:hint="eastAsia"/>
                <w:color w:val="000000"/>
              </w:rPr>
              <w:t xml:space="preserve">——软件开发工具。 </w:t>
            </w:r>
          </w:p>
          <w:p w:rsidR="00E029D8" w:rsidRDefault="003E2B0A">
            <w:pPr>
              <w:autoSpaceDE w:val="0"/>
              <w:autoSpaceDN w:val="0"/>
              <w:spacing w:before="100" w:beforeAutospacing="1" w:after="100" w:afterAutospacing="1"/>
              <w:ind w:firstLineChars="200" w:firstLine="480"/>
              <w:rPr>
                <w:rFonts w:ascii="仿宋_GB2312" w:eastAsia="仿宋_GB2312"/>
                <w:color w:val="000000"/>
              </w:rPr>
            </w:pPr>
            <w:r>
              <w:rPr>
                <w:rFonts w:ascii="仿宋_GB2312" w:eastAsia="仿宋_GB2312" w:hint="eastAsia"/>
                <w:color w:val="000000"/>
              </w:rPr>
              <w:lastRenderedPageBreak/>
              <w:t xml:space="preserve">本指导性技术文件不宜作为监督检查或认证评定活动的依据。 </w:t>
            </w:r>
          </w:p>
          <w:p w:rsidR="00E029D8" w:rsidRDefault="003E2B0A">
            <w:pPr>
              <w:autoSpaceDE w:val="0"/>
              <w:autoSpaceDN w:val="0"/>
              <w:spacing w:before="100" w:beforeAutospacing="1" w:after="100" w:afterAutospacing="1"/>
              <w:ind w:firstLineChars="200" w:firstLine="480"/>
            </w:pPr>
            <w:r>
              <w:rPr>
                <w:rFonts w:ascii="仿宋_GB2312" w:eastAsia="仿宋_GB2312" w:hint="eastAsia"/>
                <w:color w:val="000000"/>
              </w:rPr>
              <w:t>主要技术内容包括：1 范围 2 规范性引用 3 术语和定义 4 医疗器械软件生命周期过程。</w:t>
            </w:r>
            <w:r>
              <w:rPr>
                <w:rFonts w:hint="eastAsia"/>
                <w:color w:val="000000"/>
              </w:rPr>
              <w:t> </w:t>
            </w:r>
          </w:p>
        </w:tc>
      </w:tr>
      <w:tr w:rsidR="00E029D8" w:rsidTr="00D90202">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r>
              <w:rPr>
                <w:rFonts w:ascii="仿宋_GB2312" w:eastAsia="仿宋_GB2312" w:hint="eastAsia"/>
                <w:color w:val="000000"/>
              </w:rPr>
              <w:lastRenderedPageBreak/>
              <w:t>主要强制的内容和强制的理由</w:t>
            </w:r>
          </w:p>
        </w:tc>
        <w:tc>
          <w:tcPr>
            <w:tcW w:w="7866" w:type="dxa"/>
            <w:gridSpan w:val="10"/>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bookmarkStart w:id="17" w:name="contentIii"/>
            <w:r>
              <w:rPr>
                <w:rFonts w:ascii="仿宋_GB2312" w:eastAsia="仿宋_GB2312" w:hint="eastAsia"/>
                <w:color w:val="000000"/>
              </w:rPr>
              <w:t>本指导性技术文件，不涉及强制性内容</w:t>
            </w:r>
            <w:bookmarkEnd w:id="17"/>
            <w:r>
              <w:rPr>
                <w:rFonts w:ascii="仿宋_GB2312" w:eastAsia="仿宋_GB2312" w:hint="eastAsia"/>
                <w:color w:val="000000"/>
              </w:rPr>
              <w:t>。</w:t>
            </w:r>
          </w:p>
        </w:tc>
      </w:tr>
      <w:tr w:rsidR="00E029D8" w:rsidTr="00D90202">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r>
              <w:rPr>
                <w:rFonts w:ascii="仿宋_GB2312" w:eastAsia="仿宋_GB2312" w:hint="eastAsia"/>
                <w:color w:val="000000"/>
              </w:rPr>
              <w:t>与有关法律、法规和强制性标准的关系</w:t>
            </w:r>
          </w:p>
        </w:tc>
        <w:tc>
          <w:tcPr>
            <w:tcW w:w="7866" w:type="dxa"/>
            <w:gridSpan w:val="10"/>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bookmarkStart w:id="18" w:name="contentIv"/>
            <w:r>
              <w:rPr>
                <w:rFonts w:ascii="仿宋_GB2312" w:eastAsia="仿宋_GB2312" w:hint="eastAsia"/>
                <w:color w:val="000000"/>
              </w:rPr>
              <w:t>本指导性技术文件与有关的现行法律、法规和强制性国家标准无冲突。</w:t>
            </w:r>
            <w:bookmarkEnd w:id="18"/>
            <w:r>
              <w:rPr>
                <w:rFonts w:hint="eastAsia"/>
                <w:color w:val="000000"/>
              </w:rPr>
              <w:t> </w:t>
            </w:r>
          </w:p>
        </w:tc>
      </w:tr>
      <w:tr w:rsidR="00E029D8" w:rsidTr="00D90202">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r>
              <w:rPr>
                <w:rFonts w:ascii="仿宋_GB2312" w:eastAsia="仿宋_GB2312" w:hint="eastAsia"/>
                <w:color w:val="000000"/>
              </w:rPr>
              <w:t>标准所涉及的产品清单</w:t>
            </w:r>
          </w:p>
        </w:tc>
        <w:tc>
          <w:tcPr>
            <w:tcW w:w="7866" w:type="dxa"/>
            <w:gridSpan w:val="10"/>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bookmarkStart w:id="19" w:name="contentV"/>
            <w:r>
              <w:rPr>
                <w:rFonts w:ascii="仿宋_GB2312" w:eastAsia="仿宋_GB2312" w:hint="eastAsia"/>
                <w:color w:val="000000"/>
              </w:rPr>
              <w:t>本本指导性技术文件，不涉及具体产品。</w:t>
            </w:r>
            <w:bookmarkEnd w:id="19"/>
            <w:r>
              <w:rPr>
                <w:rFonts w:hint="eastAsia"/>
                <w:color w:val="000000"/>
              </w:rPr>
              <w:t> </w:t>
            </w:r>
          </w:p>
        </w:tc>
      </w:tr>
      <w:tr w:rsidR="00E029D8" w:rsidTr="00D90202">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r>
              <w:rPr>
                <w:rFonts w:ascii="仿宋_GB2312" w:eastAsia="仿宋_GB2312" w:hint="eastAsia"/>
                <w:color w:val="000000"/>
              </w:rPr>
              <w:t>国内外有关情况及发展趋势</w:t>
            </w:r>
          </w:p>
        </w:tc>
        <w:tc>
          <w:tcPr>
            <w:tcW w:w="7866" w:type="dxa"/>
            <w:gridSpan w:val="10"/>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rPr>
                <w:rFonts w:ascii="仿宋_GB2312" w:eastAsia="仿宋_GB2312"/>
                <w:color w:val="000000"/>
              </w:rPr>
            </w:pPr>
            <w:bookmarkStart w:id="20" w:name="contentX"/>
            <w:r>
              <w:rPr>
                <w:rFonts w:ascii="仿宋_GB2312" w:eastAsia="仿宋_GB2312" w:hint="eastAsia"/>
                <w:color w:val="000000"/>
              </w:rPr>
              <w:t>ISO/TR 80002系列标准包含以下三个部分:</w:t>
            </w:r>
            <w:bookmarkEnd w:id="20"/>
          </w:p>
          <w:p w:rsidR="00E029D8" w:rsidRDefault="003E2B0A">
            <w:pPr>
              <w:numPr>
                <w:ilvl w:val="0"/>
                <w:numId w:val="2"/>
              </w:numPr>
              <w:autoSpaceDE w:val="0"/>
              <w:autoSpaceDN w:val="0"/>
              <w:spacing w:before="100" w:beforeAutospacing="1" w:after="100" w:afterAutospacing="1"/>
              <w:rPr>
                <w:rFonts w:ascii="仿宋_GB2312" w:eastAsia="仿宋_GB2312"/>
                <w:color w:val="000000"/>
              </w:rPr>
            </w:pPr>
            <w:r>
              <w:rPr>
                <w:rFonts w:ascii="仿宋_GB2312" w:eastAsia="仿宋_GB2312" w:hint="eastAsia"/>
                <w:color w:val="000000"/>
              </w:rPr>
              <w:t>IEC/TR 80002-1:2009《医疗器械软件</w:t>
            </w:r>
            <w:r>
              <w:rPr>
                <w:rFonts w:hint="eastAsia"/>
                <w:color w:val="000000"/>
              </w:rPr>
              <w:t xml:space="preserve">  </w:t>
            </w:r>
            <w:r>
              <w:rPr>
                <w:rFonts w:ascii="仿宋_GB2312" w:eastAsia="仿宋_GB2312" w:hint="eastAsia"/>
                <w:color w:val="000000"/>
              </w:rPr>
              <w:t>第1部分：ISO 14971应用于医疗器械软件的指南》(</w:t>
            </w:r>
            <w:proofErr w:type="gramStart"/>
            <w:r>
              <w:rPr>
                <w:rFonts w:ascii="仿宋_GB2312" w:eastAsia="仿宋_GB2312" w:hint="eastAsia"/>
                <w:color w:val="000000"/>
              </w:rPr>
              <w:t>我技委</w:t>
            </w:r>
            <w:proofErr w:type="gramEnd"/>
            <w:r>
              <w:rPr>
                <w:rFonts w:ascii="仿宋_GB2312" w:eastAsia="仿宋_GB2312" w:hint="eastAsia"/>
                <w:color w:val="000000"/>
              </w:rPr>
              <w:t>会已等同转化为YY/T 1406.1-2016 《医疗器械软件</w:t>
            </w:r>
            <w:r>
              <w:rPr>
                <w:rFonts w:hint="eastAsia"/>
                <w:color w:val="000000"/>
              </w:rPr>
              <w:t xml:space="preserve">  </w:t>
            </w:r>
            <w:r>
              <w:rPr>
                <w:rFonts w:ascii="仿宋_GB2312" w:eastAsia="仿宋_GB2312" w:hint="eastAsia"/>
                <w:color w:val="000000"/>
              </w:rPr>
              <w:t xml:space="preserve">第1部分：YY/T 0316应用于医疗器械软件的指南》 </w:t>
            </w:r>
          </w:p>
          <w:p w:rsidR="00E029D8" w:rsidRDefault="003E2B0A">
            <w:pPr>
              <w:numPr>
                <w:ilvl w:val="0"/>
                <w:numId w:val="2"/>
              </w:numPr>
              <w:autoSpaceDE w:val="0"/>
              <w:autoSpaceDN w:val="0"/>
              <w:spacing w:before="100" w:beforeAutospacing="1" w:after="100" w:afterAutospacing="1"/>
              <w:rPr>
                <w:rFonts w:ascii="仿宋_GB2312" w:eastAsia="仿宋_GB2312"/>
                <w:color w:val="000000"/>
              </w:rPr>
            </w:pPr>
            <w:r>
              <w:rPr>
                <w:rFonts w:ascii="仿宋_GB2312" w:eastAsia="仿宋_GB2312" w:hint="eastAsia"/>
                <w:color w:val="000000"/>
              </w:rPr>
              <w:t>IEC/TR 80002-2：2017《医疗器械软件</w:t>
            </w:r>
            <w:r>
              <w:rPr>
                <w:rFonts w:hint="eastAsia"/>
                <w:color w:val="000000"/>
              </w:rPr>
              <w:t xml:space="preserve">  </w:t>
            </w:r>
            <w:r>
              <w:rPr>
                <w:rFonts w:ascii="仿宋_GB2312" w:eastAsia="仿宋_GB2312" w:hint="eastAsia"/>
                <w:color w:val="000000"/>
              </w:rPr>
              <w:t>第2部分：医疗器械质量体系软件的确认》(</w:t>
            </w:r>
            <w:proofErr w:type="gramStart"/>
            <w:r>
              <w:rPr>
                <w:rFonts w:ascii="仿宋_GB2312" w:eastAsia="仿宋_GB2312" w:hint="eastAsia"/>
                <w:color w:val="000000"/>
              </w:rPr>
              <w:t>我技委</w:t>
            </w:r>
            <w:proofErr w:type="gramEnd"/>
            <w:r>
              <w:rPr>
                <w:rFonts w:ascii="仿宋_GB2312" w:eastAsia="仿宋_GB2312" w:hint="eastAsia"/>
                <w:color w:val="000000"/>
              </w:rPr>
              <w:t>会拟等同采用国际标准转化立项为国家标准化指导性技术文件GB/Z XXXX.2</w:t>
            </w:r>
            <w:r>
              <w:rPr>
                <w:rFonts w:hint="eastAsia"/>
                <w:color w:val="000000"/>
              </w:rPr>
              <w:t>—</w:t>
            </w:r>
            <w:r>
              <w:rPr>
                <w:rFonts w:ascii="仿宋_GB2312" w:eastAsia="仿宋_GB2312" w:hint="eastAsia"/>
                <w:color w:val="000000"/>
              </w:rPr>
              <w:t>20XX 《医疗器械软件 第2部分：医疗器械质量体系软件的确认》</w:t>
            </w:r>
          </w:p>
          <w:p w:rsidR="00E029D8" w:rsidRDefault="003E2B0A">
            <w:pPr>
              <w:numPr>
                <w:ilvl w:val="0"/>
                <w:numId w:val="2"/>
              </w:numPr>
              <w:autoSpaceDE w:val="0"/>
              <w:autoSpaceDN w:val="0"/>
              <w:spacing w:before="100" w:beforeAutospacing="1" w:after="100" w:afterAutospacing="1"/>
              <w:rPr>
                <w:rFonts w:ascii="仿宋_GB2312" w:eastAsia="仿宋_GB2312"/>
                <w:color w:val="000000"/>
              </w:rPr>
            </w:pPr>
            <w:r>
              <w:rPr>
                <w:rFonts w:ascii="仿宋_GB2312" w:eastAsia="仿宋_GB2312" w:hint="eastAsia"/>
                <w:color w:val="000000"/>
              </w:rPr>
              <w:t>IEC/TR 80002-3:2014《医疗器械软件 第3部分：软件生存周期过程（YY/T 0664）的过程参考模型》(</w:t>
            </w:r>
            <w:proofErr w:type="gramStart"/>
            <w:r>
              <w:rPr>
                <w:rFonts w:ascii="仿宋_GB2312" w:eastAsia="仿宋_GB2312" w:hint="eastAsia"/>
                <w:color w:val="000000"/>
              </w:rPr>
              <w:t>我技委</w:t>
            </w:r>
            <w:proofErr w:type="gramEnd"/>
            <w:r>
              <w:rPr>
                <w:rFonts w:ascii="仿宋_GB2312" w:eastAsia="仿宋_GB2312" w:hint="eastAsia"/>
                <w:color w:val="000000"/>
              </w:rPr>
              <w:t>会拟修改采用国际标准立项为国家标准化指导性技术文件GB/Z XXXX.3</w:t>
            </w:r>
            <w:r>
              <w:rPr>
                <w:rFonts w:hint="eastAsia"/>
                <w:color w:val="000000"/>
              </w:rPr>
              <w:t>—</w:t>
            </w:r>
            <w:r>
              <w:rPr>
                <w:rFonts w:ascii="仿宋_GB2312" w:eastAsia="仿宋_GB2312" w:hint="eastAsia"/>
                <w:color w:val="000000"/>
              </w:rPr>
              <w:t xml:space="preserve">20XX《医疗器械软件 第3部分：软件生存周期过程（YY/T 0664）的过程参考模型》 </w:t>
            </w:r>
          </w:p>
          <w:p w:rsidR="00E029D8" w:rsidRDefault="003E2B0A">
            <w:pPr>
              <w:autoSpaceDE w:val="0"/>
              <w:autoSpaceDN w:val="0"/>
              <w:spacing w:before="100" w:beforeAutospacing="1" w:after="100" w:afterAutospacing="1"/>
              <w:ind w:firstLineChars="200" w:firstLine="480"/>
            </w:pPr>
            <w:r>
              <w:rPr>
                <w:rFonts w:ascii="仿宋_GB2312" w:eastAsia="仿宋_GB2312" w:hint="eastAsia"/>
                <w:color w:val="000000"/>
              </w:rPr>
              <w:t>目前行业标准YY/T 0664?20XX MOD IEC 62304:2015《医疗器械软件 软件生存周期过程》已立项2019年医疗器械推荐性行业标准。该标准将在YY/T 0664</w:t>
            </w:r>
            <w:r>
              <w:rPr>
                <w:rFonts w:hint="eastAsia"/>
                <w:color w:val="000000"/>
              </w:rPr>
              <w:t>—</w:t>
            </w:r>
            <w:r>
              <w:rPr>
                <w:rFonts w:ascii="仿宋_GB2312" w:eastAsia="仿宋_GB2312" w:hint="eastAsia"/>
                <w:color w:val="000000"/>
              </w:rPr>
              <w:t xml:space="preserve">2008标准基础上融入IEC 62304/Amd1:2015修正案的内容。 </w:t>
            </w:r>
          </w:p>
        </w:tc>
      </w:tr>
      <w:tr w:rsidR="00E029D8" w:rsidTr="00D90202">
        <w:trPr>
          <w:trHeight w:val="1363"/>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r>
              <w:rPr>
                <w:rFonts w:ascii="仿宋_GB2312" w:eastAsia="仿宋_GB2312" w:hint="eastAsia"/>
                <w:color w:val="000000"/>
              </w:rPr>
              <w:t>制定标准拟采用的方法和技术依据</w:t>
            </w:r>
          </w:p>
        </w:tc>
        <w:tc>
          <w:tcPr>
            <w:tcW w:w="7866" w:type="dxa"/>
            <w:gridSpan w:val="10"/>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bookmarkStart w:id="21" w:name="contentVi"/>
            <w:r>
              <w:rPr>
                <w:rFonts w:ascii="仿宋_GB2312" w:eastAsia="仿宋_GB2312" w:hint="eastAsia"/>
                <w:color w:val="000000"/>
              </w:rPr>
              <w:t>本指导性技术文件</w:t>
            </w:r>
            <w:bookmarkEnd w:id="21"/>
            <w:r>
              <w:rPr>
                <w:rFonts w:ascii="仿宋_GB2312" w:eastAsia="仿宋_GB2312" w:hint="eastAsia"/>
                <w:color w:val="000000"/>
              </w:rPr>
              <w:t>使用重新起草法修改采用IEC/TR 80002-3:2014 医疗器械软件 软件生存周期过程（IEC 62304）的过程参考模型.</w:t>
            </w:r>
            <w:r>
              <w:rPr>
                <w:rFonts w:hint="eastAsia"/>
                <w:color w:val="000000"/>
              </w:rPr>
              <w:t> </w:t>
            </w:r>
          </w:p>
        </w:tc>
      </w:tr>
      <w:tr w:rsidR="00E029D8" w:rsidTr="00D90202">
        <w:trPr>
          <w:trHeight w:val="1260"/>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r>
              <w:rPr>
                <w:rFonts w:ascii="仿宋_GB2312" w:eastAsia="仿宋_GB2312" w:hint="eastAsia"/>
                <w:color w:val="000000"/>
              </w:rPr>
              <w:t>拟开展的主要工作</w:t>
            </w:r>
            <w:r>
              <w:rPr>
                <w:rFonts w:ascii="仿宋_GB2312" w:eastAsia="仿宋_GB2312" w:hint="eastAsia"/>
              </w:rPr>
              <w:t>（注2）</w:t>
            </w:r>
          </w:p>
        </w:tc>
        <w:tc>
          <w:tcPr>
            <w:tcW w:w="7866" w:type="dxa"/>
            <w:gridSpan w:val="10"/>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bookmarkStart w:id="22" w:name="contentVii"/>
            <w:r>
              <w:rPr>
                <w:rFonts w:ascii="仿宋_GB2312" w:eastAsia="仿宋_GB2312" w:hint="eastAsia"/>
                <w:color w:val="000000"/>
              </w:rPr>
              <w:t>标准草案</w:t>
            </w:r>
            <w:bookmarkEnd w:id="22"/>
            <w:r>
              <w:rPr>
                <w:rFonts w:ascii="仿宋_GB2312" w:eastAsia="仿宋_GB2312" w:hint="eastAsia"/>
                <w:color w:val="000000"/>
              </w:rPr>
              <w:t>，调查、收集IEC 62304：2015《医疗器械软件 软件生存周期过程》相关的文献资料,标准验证，编写编制说明等项工作。</w:t>
            </w:r>
          </w:p>
          <w:p w:rsidR="00E029D8" w:rsidRDefault="003E2B0A">
            <w:pPr>
              <w:autoSpaceDE w:val="0"/>
              <w:autoSpaceDN w:val="0"/>
              <w:spacing w:before="100" w:beforeAutospacing="1" w:after="100" w:afterAutospacing="1"/>
            </w:pPr>
            <w:r>
              <w:rPr>
                <w:rFonts w:ascii="仿宋_GB2312" w:eastAsia="仿宋_GB2312" w:hint="eastAsia"/>
                <w:color w:val="000000"/>
              </w:rPr>
              <w:t> </w:t>
            </w:r>
          </w:p>
        </w:tc>
      </w:tr>
      <w:tr w:rsidR="00E029D8" w:rsidTr="00D90202">
        <w:trPr>
          <w:trHeight w:val="64"/>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r>
              <w:rPr>
                <w:rFonts w:ascii="仿宋_GB2312" w:eastAsia="仿宋_GB2312" w:hint="eastAsia"/>
                <w:color w:val="000000"/>
              </w:rPr>
              <w:t>与标准制修订相关</w:t>
            </w:r>
            <w:r>
              <w:rPr>
                <w:rFonts w:ascii="仿宋_GB2312" w:eastAsia="仿宋_GB2312" w:hint="eastAsia"/>
                <w:color w:val="000000"/>
              </w:rPr>
              <w:lastRenderedPageBreak/>
              <w:t>的工作基础条件</w:t>
            </w:r>
          </w:p>
        </w:tc>
        <w:tc>
          <w:tcPr>
            <w:tcW w:w="7866" w:type="dxa"/>
            <w:gridSpan w:val="10"/>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bookmarkStart w:id="23" w:name="contentViii"/>
            <w:r>
              <w:rPr>
                <w:rFonts w:ascii="仿宋_GB2312" w:eastAsia="仿宋_GB2312" w:hint="eastAsia"/>
                <w:color w:val="000000"/>
              </w:rPr>
              <w:lastRenderedPageBreak/>
              <w:t>标准草案、YY/T 0664</w:t>
            </w:r>
            <w:bookmarkEnd w:id="23"/>
            <w:r>
              <w:rPr>
                <w:rFonts w:hint="eastAsia"/>
                <w:color w:val="000000"/>
              </w:rPr>
              <w:t>—</w:t>
            </w:r>
            <w:r>
              <w:rPr>
                <w:rFonts w:ascii="仿宋_GB2312" w:eastAsia="仿宋_GB2312" w:hint="eastAsia"/>
                <w:color w:val="000000"/>
              </w:rPr>
              <w:t xml:space="preserve">20XX MOD IEC 62304:2015 《医疗器械软件 软件生存周期过程》标准 ，参考修订中的IEC 62304（第2版）  </w:t>
            </w:r>
          </w:p>
        </w:tc>
      </w:tr>
      <w:tr w:rsidR="00E029D8" w:rsidTr="00D90202">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r>
              <w:rPr>
                <w:rFonts w:ascii="仿宋_GB2312" w:eastAsia="仿宋_GB2312" w:hint="eastAsia"/>
                <w:color w:val="000000"/>
              </w:rPr>
              <w:lastRenderedPageBreak/>
              <w:t>合作单位与任务分工</w:t>
            </w:r>
          </w:p>
        </w:tc>
        <w:tc>
          <w:tcPr>
            <w:tcW w:w="7866" w:type="dxa"/>
            <w:gridSpan w:val="10"/>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bookmarkStart w:id="24" w:name="contentIx"/>
            <w:r>
              <w:rPr>
                <w:rFonts w:ascii="仿宋_GB2312" w:eastAsia="仿宋_GB2312" w:hint="eastAsia"/>
                <w:color w:val="000000"/>
              </w:rPr>
              <w:t>/</w:t>
            </w:r>
            <w:bookmarkEnd w:id="24"/>
            <w:r>
              <w:rPr>
                <w:rFonts w:hint="eastAsia"/>
                <w:color w:val="000000"/>
              </w:rPr>
              <w:t> </w:t>
            </w:r>
          </w:p>
          <w:p w:rsidR="00E029D8" w:rsidRDefault="003E2B0A">
            <w:pPr>
              <w:autoSpaceDE w:val="0"/>
              <w:autoSpaceDN w:val="0"/>
              <w:spacing w:before="100" w:beforeAutospacing="1" w:after="100" w:afterAutospacing="1"/>
            </w:pPr>
            <w:r>
              <w:rPr>
                <w:rFonts w:ascii="仿宋_GB2312" w:eastAsia="仿宋_GB2312" w:hint="eastAsia"/>
                <w:color w:val="000000"/>
              </w:rPr>
              <w:t> </w:t>
            </w:r>
          </w:p>
        </w:tc>
      </w:tr>
      <w:tr w:rsidR="00E029D8" w:rsidTr="00D90202">
        <w:trPr>
          <w:cantSplit/>
          <w:trHeight w:val="1112"/>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jc w:val="center"/>
            </w:pPr>
            <w:r>
              <w:rPr>
                <w:rFonts w:ascii="仿宋_GB2312" w:eastAsia="仿宋_GB2312" w:hint="eastAsia"/>
                <w:color w:val="000000"/>
              </w:rPr>
              <w:t>项目预算</w:t>
            </w:r>
          </w:p>
        </w:tc>
        <w:tc>
          <w:tcPr>
            <w:tcW w:w="7866" w:type="dxa"/>
            <w:gridSpan w:val="10"/>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proofErr w:type="gramStart"/>
            <w:r>
              <w:rPr>
                <w:rFonts w:ascii="仿宋_GB2312" w:eastAsia="仿宋_GB2312" w:hint="eastAsia"/>
                <w:color w:val="000000"/>
              </w:rPr>
              <w:t>见项目</w:t>
            </w:r>
            <w:proofErr w:type="gramEnd"/>
            <w:r>
              <w:rPr>
                <w:rFonts w:ascii="仿宋_GB2312" w:eastAsia="仿宋_GB2312" w:hint="eastAsia"/>
                <w:color w:val="000000"/>
              </w:rPr>
              <w:t>预算表</w:t>
            </w:r>
            <w:r>
              <w:rPr>
                <w:rFonts w:hint="eastAsia"/>
                <w:color w:val="000000"/>
              </w:rPr>
              <w:t> </w:t>
            </w:r>
          </w:p>
        </w:tc>
      </w:tr>
      <w:tr w:rsidR="00E029D8" w:rsidTr="00D90202">
        <w:trPr>
          <w:cantSplit/>
          <w:trHeight w:val="1457"/>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r>
              <w:rPr>
                <w:rFonts w:ascii="仿宋_GB2312" w:eastAsia="仿宋_GB2312" w:hint="eastAsia"/>
                <w:color w:val="000000"/>
              </w:rPr>
              <w:t>工作进度（注明时间）</w:t>
            </w:r>
          </w:p>
        </w:tc>
        <w:tc>
          <w:tcPr>
            <w:tcW w:w="7866" w:type="dxa"/>
            <w:gridSpan w:val="10"/>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bookmarkStart w:id="25" w:name="contentXi"/>
            <w:r w:rsidRPr="008C595C">
              <w:rPr>
                <w:rFonts w:ascii="仿宋_GB2312" w:eastAsia="仿宋_GB2312" w:hint="eastAsia"/>
                <w:color w:val="000000"/>
              </w:rPr>
              <w:t>2019年1月--2020年10月</w:t>
            </w:r>
            <w:bookmarkEnd w:id="25"/>
            <w:r w:rsidRPr="008C595C">
              <w:rPr>
                <w:rFonts w:ascii="仿宋_GB2312" w:eastAsia="仿宋_GB2312" w:hint="eastAsia"/>
                <w:color w:val="000000"/>
              </w:rPr>
              <w:t> </w:t>
            </w:r>
          </w:p>
        </w:tc>
      </w:tr>
      <w:tr w:rsidR="00E029D8" w:rsidTr="00D90202">
        <w:trPr>
          <w:trHeight w:val="1758"/>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rPr>
                <w:rFonts w:ascii="仿宋_GB2312" w:eastAsia="仿宋_GB2312"/>
                <w:color w:val="000000"/>
              </w:rPr>
            </w:pPr>
            <w:r>
              <w:rPr>
                <w:rFonts w:ascii="仿宋_GB2312" w:eastAsia="仿宋_GB2312" w:hint="eastAsia"/>
                <w:color w:val="000000"/>
              </w:rPr>
              <w:t>起草</w:t>
            </w:r>
          </w:p>
          <w:p w:rsidR="00E029D8" w:rsidRDefault="003E2B0A">
            <w:pPr>
              <w:autoSpaceDE w:val="0"/>
              <w:autoSpaceDN w:val="0"/>
              <w:spacing w:before="100" w:beforeAutospacing="1" w:after="100" w:afterAutospacing="1"/>
            </w:pPr>
            <w:r>
              <w:rPr>
                <w:rFonts w:ascii="仿宋_GB2312" w:eastAsia="仿宋_GB2312" w:hint="eastAsia"/>
                <w:color w:val="000000"/>
              </w:rPr>
              <w:t>审查</w:t>
            </w:r>
          </w:p>
        </w:tc>
        <w:tc>
          <w:tcPr>
            <w:tcW w:w="215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rPr>
                <w:rFonts w:ascii="仿宋_GB2312" w:eastAsia="仿宋_GB2312"/>
                <w:color w:val="000000"/>
              </w:rPr>
            </w:pPr>
            <w:r>
              <w:rPr>
                <w:rFonts w:ascii="仿宋_GB2312" w:eastAsia="仿宋_GB2312" w:hint="eastAsia"/>
                <w:color w:val="000000"/>
              </w:rPr>
              <w:t>2019年1月-2019年10月</w:t>
            </w:r>
          </w:p>
          <w:p w:rsidR="00E029D8" w:rsidRDefault="003E2B0A">
            <w:pPr>
              <w:autoSpaceDE w:val="0"/>
              <w:autoSpaceDN w:val="0"/>
              <w:spacing w:before="100" w:beforeAutospacing="1" w:after="100" w:afterAutospacing="1"/>
            </w:pPr>
            <w:r>
              <w:rPr>
                <w:rFonts w:ascii="仿宋_GB2312" w:eastAsia="仿宋_GB2312" w:hint="eastAsia"/>
                <w:color w:val="000000"/>
              </w:rPr>
              <w:t>2020年8月</w:t>
            </w:r>
          </w:p>
        </w:tc>
        <w:tc>
          <w:tcPr>
            <w:tcW w:w="14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ind w:left="12"/>
            </w:pPr>
            <w:r>
              <w:rPr>
                <w:rFonts w:ascii="仿宋_GB2312" w:eastAsia="仿宋_GB2312" w:hint="eastAsia"/>
                <w:color w:val="000000"/>
              </w:rPr>
              <w:t>征求意见</w:t>
            </w:r>
          </w:p>
          <w:p w:rsidR="00E029D8" w:rsidRDefault="003E2B0A">
            <w:pPr>
              <w:autoSpaceDE w:val="0"/>
              <w:autoSpaceDN w:val="0"/>
              <w:spacing w:before="100" w:beforeAutospacing="1" w:after="100" w:afterAutospacing="1"/>
              <w:ind w:left="12"/>
            </w:pPr>
            <w:r>
              <w:rPr>
                <w:rFonts w:ascii="仿宋_GB2312" w:eastAsia="仿宋_GB2312" w:hint="eastAsia"/>
                <w:color w:val="000000"/>
              </w:rPr>
              <w:t>报    批</w:t>
            </w:r>
          </w:p>
        </w:tc>
        <w:tc>
          <w:tcPr>
            <w:tcW w:w="4217"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E029D8" w:rsidRDefault="00E029D8">
            <w:pPr>
              <w:autoSpaceDE w:val="0"/>
              <w:autoSpaceDN w:val="0"/>
              <w:spacing w:before="100" w:beforeAutospacing="1" w:after="100" w:afterAutospacing="1"/>
              <w:rPr>
                <w:rFonts w:ascii="仿宋_GB2312" w:eastAsia="仿宋_GB2312"/>
                <w:color w:val="000000"/>
              </w:rPr>
            </w:pPr>
          </w:p>
          <w:p w:rsidR="00E029D8" w:rsidRPr="003171B8" w:rsidRDefault="003E2B0A">
            <w:pPr>
              <w:autoSpaceDE w:val="0"/>
              <w:autoSpaceDN w:val="0"/>
              <w:spacing w:before="100" w:beforeAutospacing="1" w:after="100" w:afterAutospacing="1"/>
              <w:rPr>
                <w:rFonts w:ascii="仿宋_GB2312" w:eastAsia="仿宋_GB2312"/>
                <w:color w:val="000000"/>
              </w:rPr>
            </w:pPr>
            <w:r>
              <w:rPr>
                <w:rFonts w:ascii="仿宋_GB2312" w:eastAsia="仿宋_GB2312" w:hint="eastAsia"/>
                <w:color w:val="000000"/>
              </w:rPr>
              <w:t>2019年11月初--2020年1月初</w:t>
            </w:r>
          </w:p>
          <w:p w:rsidR="00E029D8" w:rsidRPr="003171B8" w:rsidRDefault="003E2B0A">
            <w:pPr>
              <w:autoSpaceDE w:val="0"/>
              <w:autoSpaceDN w:val="0"/>
              <w:spacing w:before="100" w:beforeAutospacing="1" w:after="100" w:afterAutospacing="1"/>
              <w:rPr>
                <w:rFonts w:ascii="仿宋_GB2312" w:eastAsia="仿宋_GB2312"/>
                <w:color w:val="000000"/>
              </w:rPr>
            </w:pPr>
            <w:r w:rsidRPr="003171B8">
              <w:rPr>
                <w:rFonts w:ascii="仿宋_GB2312" w:eastAsia="仿宋_GB2312" w:hint="eastAsia"/>
                <w:color w:val="000000"/>
              </w:rPr>
              <w:t>2020年10月</w:t>
            </w:r>
            <w:r>
              <w:rPr>
                <w:rFonts w:ascii="仿宋_GB2312" w:eastAsia="仿宋_GB2312" w:hint="eastAsia"/>
                <w:color w:val="000000"/>
              </w:rPr>
              <w:t> </w:t>
            </w:r>
          </w:p>
          <w:p w:rsidR="00E029D8" w:rsidRDefault="003E2B0A">
            <w:pPr>
              <w:autoSpaceDE w:val="0"/>
              <w:autoSpaceDN w:val="0"/>
              <w:spacing w:before="100" w:beforeAutospacing="1" w:after="100" w:afterAutospacing="1"/>
              <w:ind w:left="2364"/>
            </w:pPr>
            <w:r>
              <w:rPr>
                <w:rFonts w:ascii="仿宋_GB2312" w:eastAsia="仿宋_GB2312" w:hint="eastAsia"/>
                <w:color w:val="000000"/>
              </w:rPr>
              <w:t> </w:t>
            </w:r>
          </w:p>
        </w:tc>
      </w:tr>
      <w:tr w:rsidR="00E029D8" w:rsidTr="00D90202">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r>
              <w:rPr>
                <w:rFonts w:ascii="仿宋_GB2312" w:eastAsia="仿宋_GB2312" w:hint="eastAsia"/>
                <w:color w:val="000000"/>
              </w:rPr>
              <w:t>备注</w:t>
            </w:r>
          </w:p>
        </w:tc>
        <w:tc>
          <w:tcPr>
            <w:tcW w:w="7866" w:type="dxa"/>
            <w:gridSpan w:val="10"/>
            <w:tcBorders>
              <w:top w:val="nil"/>
              <w:left w:val="nil"/>
              <w:bottom w:val="single" w:sz="8" w:space="0" w:color="auto"/>
              <w:right w:val="single" w:sz="8" w:space="0" w:color="auto"/>
            </w:tcBorders>
            <w:tcMar>
              <w:top w:w="0" w:type="dxa"/>
              <w:left w:w="108" w:type="dxa"/>
              <w:bottom w:w="0" w:type="dxa"/>
              <w:right w:w="108" w:type="dxa"/>
            </w:tcMar>
            <w:vAlign w:val="center"/>
            <w:hideMark/>
          </w:tcPr>
          <w:p w:rsidR="00E029D8" w:rsidRDefault="003E2B0A">
            <w:pPr>
              <w:autoSpaceDE w:val="0"/>
              <w:autoSpaceDN w:val="0"/>
              <w:spacing w:before="100" w:beforeAutospacing="1" w:after="100" w:afterAutospacing="1"/>
            </w:pPr>
            <w:r>
              <w:rPr>
                <w:rFonts w:ascii="华文仿宋" w:eastAsia="华文仿宋" w:hAnsi="华文仿宋" w:hint="eastAsia"/>
                <w:color w:val="000000"/>
              </w:rPr>
              <w:t>2018年8月7-9日，SAC/TC 221 2018年会暨YY/T 0595标准审定会上针对GB/Z XXXX.3—20XX MOD IEC/TR 80002-3：2014）《医疗器械软件 第3部分 软件生存周期过程（YY/T 0664）的过程参考模型》（制定）国家标准化指导性技术文件预立项的标准名称、适用范围、第一起草单位、标准性质等进行了审议并表决，</w:t>
            </w:r>
            <w:bookmarkStart w:id="26" w:name="OLE_LINK1"/>
            <w:r>
              <w:rPr>
                <w:rFonts w:ascii="华文仿宋" w:eastAsia="华文仿宋" w:hAnsi="华文仿宋" w:hint="eastAsia"/>
                <w:color w:val="000000"/>
              </w:rPr>
              <w:t>SAC/TC 221 委员65名（实到57名委员或委员委托代表），57票同意，0票反对，符合规范要求</w:t>
            </w:r>
            <w:bookmarkEnd w:id="26"/>
            <w:r>
              <w:rPr>
                <w:rFonts w:ascii="华文仿宋" w:eastAsia="华文仿宋" w:hAnsi="华文仿宋" w:hint="eastAsia"/>
              </w:rPr>
              <w:t>。表决结论为该指导性技术文件预立项通过。</w:t>
            </w:r>
          </w:p>
        </w:tc>
      </w:tr>
      <w:tr w:rsidR="00E029D8" w:rsidTr="00D90202">
        <w:tc>
          <w:tcPr>
            <w:tcW w:w="1242" w:type="dxa"/>
            <w:tcBorders>
              <w:top w:val="nil"/>
              <w:left w:val="nil"/>
              <w:bottom w:val="nil"/>
              <w:right w:val="nil"/>
            </w:tcBorders>
            <w:vAlign w:val="center"/>
          </w:tcPr>
          <w:p w:rsidR="00E029D8" w:rsidRDefault="00E029D8"/>
        </w:tc>
        <w:tc>
          <w:tcPr>
            <w:tcW w:w="1764" w:type="dxa"/>
            <w:tcBorders>
              <w:top w:val="nil"/>
              <w:left w:val="nil"/>
              <w:bottom w:val="nil"/>
              <w:right w:val="nil"/>
            </w:tcBorders>
            <w:vAlign w:val="center"/>
          </w:tcPr>
          <w:p w:rsidR="00E029D8" w:rsidRDefault="00E029D8"/>
        </w:tc>
        <w:tc>
          <w:tcPr>
            <w:tcW w:w="280" w:type="dxa"/>
            <w:tcBorders>
              <w:top w:val="nil"/>
              <w:left w:val="nil"/>
              <w:bottom w:val="nil"/>
              <w:right w:val="nil"/>
            </w:tcBorders>
            <w:vAlign w:val="center"/>
          </w:tcPr>
          <w:p w:rsidR="00E029D8" w:rsidRDefault="00E029D8"/>
        </w:tc>
        <w:tc>
          <w:tcPr>
            <w:tcW w:w="115" w:type="dxa"/>
            <w:tcBorders>
              <w:top w:val="nil"/>
              <w:left w:val="nil"/>
              <w:bottom w:val="nil"/>
              <w:right w:val="nil"/>
            </w:tcBorders>
            <w:vAlign w:val="center"/>
          </w:tcPr>
          <w:p w:rsidR="00E029D8" w:rsidRDefault="00E029D8"/>
        </w:tc>
        <w:tc>
          <w:tcPr>
            <w:tcW w:w="207" w:type="dxa"/>
            <w:tcBorders>
              <w:top w:val="nil"/>
              <w:left w:val="nil"/>
              <w:bottom w:val="nil"/>
              <w:right w:val="nil"/>
            </w:tcBorders>
            <w:vAlign w:val="center"/>
          </w:tcPr>
          <w:p w:rsidR="00E029D8" w:rsidRDefault="00E029D8"/>
        </w:tc>
        <w:tc>
          <w:tcPr>
            <w:tcW w:w="1283" w:type="dxa"/>
            <w:tcBorders>
              <w:top w:val="nil"/>
              <w:left w:val="nil"/>
              <w:bottom w:val="nil"/>
              <w:right w:val="nil"/>
            </w:tcBorders>
            <w:vAlign w:val="center"/>
          </w:tcPr>
          <w:p w:rsidR="00E029D8" w:rsidRDefault="00E029D8"/>
        </w:tc>
        <w:tc>
          <w:tcPr>
            <w:tcW w:w="322" w:type="dxa"/>
            <w:tcBorders>
              <w:top w:val="nil"/>
              <w:left w:val="nil"/>
              <w:bottom w:val="nil"/>
              <w:right w:val="nil"/>
            </w:tcBorders>
            <w:vAlign w:val="center"/>
          </w:tcPr>
          <w:p w:rsidR="00E029D8" w:rsidRDefault="00E029D8"/>
        </w:tc>
        <w:tc>
          <w:tcPr>
            <w:tcW w:w="123" w:type="dxa"/>
            <w:tcBorders>
              <w:top w:val="nil"/>
              <w:left w:val="nil"/>
              <w:bottom w:val="nil"/>
              <w:right w:val="nil"/>
            </w:tcBorders>
            <w:vAlign w:val="center"/>
          </w:tcPr>
          <w:p w:rsidR="00E029D8" w:rsidRDefault="00E029D8"/>
        </w:tc>
        <w:tc>
          <w:tcPr>
            <w:tcW w:w="100" w:type="dxa"/>
            <w:tcBorders>
              <w:top w:val="nil"/>
              <w:left w:val="nil"/>
              <w:bottom w:val="nil"/>
              <w:right w:val="nil"/>
            </w:tcBorders>
            <w:vAlign w:val="center"/>
          </w:tcPr>
          <w:p w:rsidR="00E029D8" w:rsidRDefault="00E029D8"/>
        </w:tc>
        <w:tc>
          <w:tcPr>
            <w:tcW w:w="729" w:type="dxa"/>
            <w:tcBorders>
              <w:top w:val="nil"/>
              <w:left w:val="nil"/>
              <w:bottom w:val="nil"/>
              <w:right w:val="nil"/>
            </w:tcBorders>
            <w:vAlign w:val="center"/>
          </w:tcPr>
          <w:p w:rsidR="00E029D8" w:rsidRDefault="00E029D8"/>
        </w:tc>
        <w:tc>
          <w:tcPr>
            <w:tcW w:w="2943" w:type="dxa"/>
            <w:tcBorders>
              <w:top w:val="nil"/>
              <w:left w:val="nil"/>
              <w:bottom w:val="nil"/>
              <w:right w:val="nil"/>
            </w:tcBorders>
            <w:vAlign w:val="center"/>
          </w:tcPr>
          <w:p w:rsidR="00E029D8" w:rsidRDefault="00E029D8"/>
        </w:tc>
      </w:tr>
    </w:tbl>
    <w:p w:rsidR="00E029D8" w:rsidRDefault="003E2B0A">
      <w:pPr>
        <w:spacing w:before="100" w:beforeAutospacing="1" w:after="100" w:afterAutospacing="1" w:line="380" w:lineRule="atLeast"/>
      </w:pPr>
      <w:r>
        <w:rPr>
          <w:rFonts w:ascii="仿宋_GB2312" w:eastAsia="仿宋_GB2312" w:hint="eastAsia"/>
        </w:rPr>
        <w:t>注 1：</w:t>
      </w:r>
      <w:r>
        <w:rPr>
          <w:rFonts w:hint="eastAsia"/>
        </w:rPr>
        <w:t>“</w:t>
      </w:r>
      <w:r>
        <w:rPr>
          <w:rFonts w:ascii="仿宋_GB2312" w:eastAsia="仿宋_GB2312" w:hint="eastAsia"/>
        </w:rPr>
        <w:t>标准类别</w:t>
      </w:r>
      <w:r>
        <w:rPr>
          <w:rFonts w:hint="eastAsia"/>
        </w:rPr>
        <w:t>”</w:t>
      </w:r>
      <w:r>
        <w:rPr>
          <w:rFonts w:ascii="仿宋_GB2312" w:eastAsia="仿宋_GB2312" w:hint="eastAsia"/>
        </w:rPr>
        <w:t>分为产品、基础、方法、管理、安全、其他。</w:t>
      </w:r>
    </w:p>
    <w:p w:rsidR="00E029D8" w:rsidRDefault="003E2B0A">
      <w:pPr>
        <w:spacing w:before="100" w:beforeAutospacing="1" w:after="100" w:afterAutospacing="1" w:line="380" w:lineRule="atLeast"/>
      </w:pPr>
      <w:r>
        <w:rPr>
          <w:rFonts w:ascii="仿宋_GB2312" w:eastAsia="仿宋_GB2312" w:hint="eastAsia"/>
        </w:rPr>
        <w:t>注2：</w:t>
      </w:r>
      <w:r>
        <w:rPr>
          <w:rFonts w:hint="eastAsia"/>
        </w:rPr>
        <w:t>“</w:t>
      </w:r>
      <w:r>
        <w:rPr>
          <w:rFonts w:ascii="仿宋_GB2312" w:eastAsia="仿宋_GB2312" w:hint="eastAsia"/>
        </w:rPr>
        <w:t>拟开展的主要工作</w:t>
      </w:r>
      <w:r>
        <w:rPr>
          <w:rFonts w:hint="eastAsia"/>
        </w:rPr>
        <w:t>”</w:t>
      </w:r>
      <w:r>
        <w:rPr>
          <w:rFonts w:ascii="仿宋_GB2312" w:eastAsia="仿宋_GB2312" w:hint="eastAsia"/>
        </w:rPr>
        <w:t>应包括调查、收集文献资料、试验、测试、方法标准验证、样品标准研制与定值、标准及编制说明的编写等项工作。</w:t>
      </w:r>
    </w:p>
    <w:p w:rsidR="003E2B0A" w:rsidRDefault="003E2B0A">
      <w:pPr>
        <w:spacing w:before="100" w:beforeAutospacing="1" w:after="100" w:afterAutospacing="1" w:line="380" w:lineRule="atLeast"/>
      </w:pPr>
      <w:r>
        <w:rPr>
          <w:rFonts w:ascii="仿宋_GB2312" w:eastAsia="仿宋_GB2312" w:hint="eastAsia"/>
        </w:rPr>
        <w:t xml:space="preserve">注 3：无标准草案或技术大纲的计划项目原则上不予批准。 </w:t>
      </w:r>
    </w:p>
    <w:sectPr w:rsidR="003E2B0A">
      <w:pgSz w:w="11906" w:h="1683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681" w:rsidRDefault="00D17681" w:rsidP="003171B8">
      <w:r>
        <w:separator/>
      </w:r>
    </w:p>
  </w:endnote>
  <w:endnote w:type="continuationSeparator" w:id="0">
    <w:p w:rsidR="00D17681" w:rsidRDefault="00D17681" w:rsidP="0031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681" w:rsidRDefault="00D17681" w:rsidP="003171B8">
      <w:r>
        <w:separator/>
      </w:r>
    </w:p>
  </w:footnote>
  <w:footnote w:type="continuationSeparator" w:id="0">
    <w:p w:rsidR="00D17681" w:rsidRDefault="00D17681" w:rsidP="003171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23EC0"/>
    <w:multiLevelType w:val="multilevel"/>
    <w:tmpl w:val="09E85B6A"/>
    <w:lvl w:ilvl="0">
      <w:start w:val="1"/>
      <w:numFmt w:val="decimal"/>
      <w:lvlText w:val="%1."/>
      <w:lvlJc w:val="left"/>
      <w:pPr>
        <w:tabs>
          <w:tab w:val="num" w:pos="312"/>
        </w:tabs>
        <w:ind w:left="12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3171B8"/>
    <w:rsid w:val="00125F7F"/>
    <w:rsid w:val="001B3730"/>
    <w:rsid w:val="003171B8"/>
    <w:rsid w:val="003E2B0A"/>
    <w:rsid w:val="00624B82"/>
    <w:rsid w:val="00694253"/>
    <w:rsid w:val="00836AC2"/>
    <w:rsid w:val="008C595C"/>
    <w:rsid w:val="00D17681"/>
    <w:rsid w:val="00D90202"/>
    <w:rsid w:val="00E02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1" w:defQFormat="0" w:count="267">
    <w:lsdException w:name="Normal"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semiHidden="1" w:uiPriority="0" w:qFormat="1"/>
    <w:lsdException w:name="heading 8" w:semiHidden="1" w:uiPriority="0" w:qFormat="1"/>
    <w:lsdException w:name="heading 9" w:semiHidden="1" w:uiPriority="0" w:qFormat="1"/>
    <w:lsdException w:name="index 1" w:uiPriority="0" w:unhideWhenUsed="0"/>
    <w:lsdException w:name="index 2" w:uiPriority="0" w:unhideWhenUsed="0"/>
    <w:lsdException w:name="index 3" w:uiPriority="0" w:unhideWhenUsed="0"/>
    <w:lsdException w:name="index 4" w:uiPriority="0" w:unhideWhenUsed="0"/>
    <w:lsdException w:name="index 5" w:uiPriority="0" w:unhideWhenUsed="0"/>
    <w:lsdException w:name="index 6" w:uiPriority="0" w:unhideWhenUsed="0"/>
    <w:lsdException w:name="index 7" w:uiPriority="0" w:unhideWhenUsed="0"/>
    <w:lsdException w:name="index 8" w:uiPriority="0" w:unhideWhenUsed="0"/>
    <w:lsdException w:name="index 9" w:uiPriority="0" w:unhideWhenUsed="0"/>
    <w:lsdException w:name="toc 1" w:uiPriority="0" w:unhideWhenUsed="0"/>
    <w:lsdException w:name="toc 2" w:uiPriority="0" w:unhideWhenUsed="0"/>
    <w:lsdException w:name="toc 3" w:uiPriority="0"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Normal Indent" w:uiPriority="0" w:unhideWhenUsed="0"/>
    <w:lsdException w:name="footnote text" w:uiPriority="0" w:unhideWhenUsed="0"/>
    <w:lsdException w:name="annotation text" w:uiPriority="0" w:unhideWhenUsed="0"/>
    <w:lsdException w:name="header" w:uiPriority="0" w:unhideWhenUsed="0"/>
    <w:lsdException w:name="footer" w:uiPriority="0" w:unhideWhenUsed="0"/>
    <w:lsdException w:name="index heading" w:uiPriority="0" w:unhideWhenUsed="0"/>
    <w:lsdException w:name="caption" w:semiHidden="1" w:uiPriority="0" w:qFormat="1"/>
    <w:lsdException w:name="table of figures" w:uiPriority="0" w:unhideWhenUsed="0"/>
    <w:lsdException w:name="envelope address" w:uiPriority="0" w:unhideWhenUsed="0"/>
    <w:lsdException w:name="envelope return" w:uiPriority="0" w:unhideWhenUsed="0"/>
    <w:lsdException w:name="footnote reference" w:uiPriority="0" w:unhideWhenUsed="0"/>
    <w:lsdException w:name="annotation reference" w:uiPriority="0" w:unhideWhenUsed="0"/>
    <w:lsdException w:name="line number" w:uiPriority="0" w:unhideWhenUsed="0"/>
    <w:lsdException w:name="page number" w:uiPriority="0" w:unhideWhenUsed="0"/>
    <w:lsdException w:name="endnote reference" w:uiPriority="0" w:unhideWhenUsed="0"/>
    <w:lsdException w:name="endnote text" w:uiPriority="0" w:unhideWhenUsed="0"/>
    <w:lsdException w:name="table of authorities" w:uiPriority="0" w:unhideWhenUsed="0"/>
    <w:lsdException w:name="macro" w:uiPriority="0" w:unhideWhenUsed="0"/>
    <w:lsdException w:name="toa heading" w:uiPriority="0" w:unhideWhenUsed="0"/>
    <w:lsdException w:name="List" w:uiPriority="0" w:unhideWhenUsed="0"/>
    <w:lsdException w:name="List Bullet" w:uiPriority="0" w:unhideWhenUsed="0"/>
    <w:lsdException w:name="List Number" w:uiPriority="0" w:unhideWhenUsed="0"/>
    <w:lsdException w:name="List 2" w:uiPriority="0" w:unhideWhenUsed="0"/>
    <w:lsdException w:name="List 3" w:uiPriority="0" w:unhideWhenUsed="0"/>
    <w:lsdException w:name="List 4" w:uiPriority="0" w:unhideWhenUsed="0"/>
    <w:lsdException w:name="List 5" w:uiPriority="0" w:unhideWhenUsed="0"/>
    <w:lsdException w:name="List Bullet 2" w:uiPriority="0" w:unhideWhenUsed="0"/>
    <w:lsdException w:name="List Bullet 3" w:uiPriority="0" w:unhideWhenUsed="0"/>
    <w:lsdException w:name="List Bullet 4" w:uiPriority="0" w:unhideWhenUsed="0"/>
    <w:lsdException w:name="List Bullet 5" w:uiPriority="0" w:unhideWhenUsed="0"/>
    <w:lsdException w:name="List Number 2" w:uiPriority="0" w:unhideWhenUsed="0"/>
    <w:lsdException w:name="List Number 3" w:uiPriority="0" w:unhideWhenUsed="0"/>
    <w:lsdException w:name="List Number 4" w:uiPriority="0" w:unhideWhenUsed="0"/>
    <w:lsdException w:name="List Number 5" w:uiPriority="0" w:unhideWhenUsed="0"/>
    <w:lsdException w:name="Title" w:uiPriority="0" w:unhideWhenUsed="0" w:qFormat="1"/>
    <w:lsdException w:name="Closing" w:uiPriority="0" w:unhideWhenUsed="0"/>
    <w:lsdException w:name="Signature" w:uiPriority="0" w:unhideWhenUsed="0"/>
    <w:lsdException w:name="Body Text" w:uiPriority="0" w:unhideWhenUsed="0" w:qFormat="1"/>
    <w:lsdException w:name="Body Text Indent" w:uiPriority="0" w:unhideWhenUsed="0" w:qFormat="1"/>
    <w:lsdException w:name="List Continue" w:uiPriority="0" w:unhideWhenUsed="0"/>
    <w:lsdException w:name="List Continue 2" w:uiPriority="0" w:unhideWhenUsed="0"/>
    <w:lsdException w:name="List Continue 3" w:uiPriority="0" w:unhideWhenUsed="0"/>
    <w:lsdException w:name="List Continue 4" w:uiPriority="0" w:unhideWhenUsed="0"/>
    <w:lsdException w:name="List Continue 5" w:uiPriority="0" w:unhideWhenUsed="0"/>
    <w:lsdException w:name="Message Header" w:uiPriority="0" w:unhideWhenUsed="0"/>
    <w:lsdException w:name="Subtitle" w:uiPriority="0" w:unhideWhenUsed="0" w:qFormat="1"/>
    <w:lsdException w:name="Salutation" w:uiPriority="0" w:unhideWhenUsed="0"/>
    <w:lsdException w:name="Date" w:uiPriority="0" w:unhideWhenUsed="0"/>
    <w:lsdException w:name="Body Text First Indent" w:uiPriority="0" w:unhideWhenUsed="0"/>
    <w:lsdException w:name="Body Text First Indent 2" w:uiPriority="0" w:unhideWhenUsed="0" w:qFormat="1"/>
    <w:lsdException w:name="Note Heading" w:uiPriority="0" w:unhideWhenUsed="0"/>
    <w:lsdException w:name="Body Text 2" w:uiPriority="0" w:unhideWhenUsed="0"/>
    <w:lsdException w:name="Body Text 3" w:uiPriority="0" w:unhideWhenUsed="0"/>
    <w:lsdException w:name="Body Text Indent 2" w:uiPriority="0" w:unhideWhenUsed="0"/>
    <w:lsdException w:name="Body Text Indent 3" w:uiPriority="0" w:unhideWhenUsed="0"/>
    <w:lsdException w:name="Block Text" w:uiPriority="0" w:unhideWhenUsed="0"/>
    <w:lsdException w:name="Hyperlink" w:uiPriority="0" w:unhideWhenUsed="0"/>
    <w:lsdException w:name="FollowedHyperlink" w:uiPriority="0" w:unhideWhenUsed="0"/>
    <w:lsdException w:name="Strong" w:uiPriority="0" w:unhideWhenUsed="0" w:qFormat="1"/>
    <w:lsdException w:name="Emphasis" w:uiPriority="0" w:unhideWhenUsed="0" w:qFormat="1"/>
    <w:lsdException w:name="Document Map" w:uiPriority="0" w:unhideWhenUsed="0"/>
    <w:lsdException w:name="Plain Text" w:uiPriority="0" w:unhideWhenUsed="0"/>
    <w:lsdException w:name="E-mail Signature" w:uiPriority="0" w:unhideWhenUsed="0"/>
    <w:lsdException w:name="HTML Top of Form" w:semiHidden="1"/>
    <w:lsdException w:name="HTML Bottom of Form" w:semiHidden="1"/>
    <w:lsdException w:name="Normal (Web)" w:uiPriority="0" w:unhideWhenUsed="0"/>
    <w:lsdException w:name="HTML Acronym" w:uiPriority="0" w:unhideWhenUsed="0"/>
    <w:lsdException w:name="HTML Address" w:uiPriority="0" w:unhideWhenUsed="0"/>
    <w:lsdException w:name="HTML Cite" w:uiPriority="0" w:unhideWhenUsed="0"/>
    <w:lsdException w:name="HTML Code" w:uiPriority="0" w:unhideWhenUsed="0"/>
    <w:lsdException w:name="HTML Definition" w:uiPriority="0" w:unhideWhenUsed="0"/>
    <w:lsdException w:name="HTML Keyboard" w:uiPriority="0" w:unhideWhenUsed="0"/>
    <w:lsdException w:name="HTML Preformatted" w:uiPriority="0" w:unhideWhenUsed="0"/>
    <w:lsdException w:name="HTML Sample" w:uiPriority="0" w:unhideWhenUsed="0"/>
    <w:lsdException w:name="HTML Typewriter" w:uiPriority="0" w:unhideWhenUsed="0"/>
    <w:lsdException w:name="HTML Variable" w:uiPriority="0" w:unhideWhenUsed="0"/>
    <w:lsdException w:name="annotation subject" w:uiPriority="0" w:unhideWhenUsed="0"/>
    <w:lsdException w:name="Outline List 1" w:semiHidden="1"/>
    <w:lsdException w:name="Outline List 2" w:semiHidden="1"/>
    <w:lsdException w:name="Outline List 3" w:semiHidden="1"/>
    <w:lsdException w:name="Balloon Text" w:uiPriority="0" w:unhideWhenUsed="0"/>
    <w:lsdException w:name="No Spacing" w:unhideWhenUsed="0" w:qFormat="1"/>
    <w:lsdException w:name="Revision" w:semiHidden="1"/>
    <w:lsdException w:name="List Paragraph" w:unhideWhenUsed="0" w:qFormat="1"/>
    <w:lsdException w:name="Quote" w:unhideWhenUsed="0" w:qFormat="1"/>
    <w:lsdException w:name="Intense Quote" w:unhideWhenUsed="0" w:qFormat="1"/>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Pr>
      <w:rFonts w:ascii="宋体" w:eastAsia="宋体" w:hAnsi="宋体" w:cs="宋体"/>
      <w:sz w:val="24"/>
      <w:szCs w:val="24"/>
    </w:rPr>
  </w:style>
  <w:style w:type="paragraph" w:styleId="1">
    <w:name w:val="heading 1"/>
    <w:basedOn w:val="a"/>
    <w:next w:val="a"/>
    <w:qFormat/>
    <w:pPr>
      <w:spacing w:before="100" w:beforeAutospacing="1" w:after="100" w:afterAutospacing="1"/>
      <w:outlineLvl w:val="0"/>
    </w:pPr>
    <w:rPr>
      <w:b/>
      <w:bCs/>
      <w:kern w:val="44"/>
      <w:sz w:val="48"/>
      <w:szCs w:val="48"/>
    </w:rPr>
  </w:style>
  <w:style w:type="paragraph" w:styleId="2">
    <w:name w:val="heading 2"/>
    <w:basedOn w:val="a"/>
    <w:next w:val="a"/>
    <w:qFormat/>
    <w:pPr>
      <w:spacing w:before="100" w:beforeAutospacing="1" w:after="100" w:afterAutospacing="1"/>
      <w:outlineLvl w:val="1"/>
    </w:pPr>
    <w:rPr>
      <w:b/>
      <w:bCs/>
      <w:sz w:val="36"/>
      <w:szCs w:val="36"/>
    </w:rPr>
  </w:style>
  <w:style w:type="paragraph" w:styleId="3">
    <w:name w:val="heading 3"/>
    <w:basedOn w:val="a"/>
    <w:next w:val="a"/>
    <w:qFormat/>
    <w:pPr>
      <w:spacing w:before="100" w:beforeAutospacing="1" w:after="100" w:afterAutospacing="1"/>
      <w:outlineLvl w:val="2"/>
    </w:pPr>
    <w:rPr>
      <w:b/>
      <w:bCs/>
      <w:sz w:val="27"/>
      <w:szCs w:val="27"/>
    </w:rPr>
  </w:style>
  <w:style w:type="paragraph" w:styleId="4">
    <w:name w:val="heading 4"/>
    <w:basedOn w:val="a"/>
    <w:next w:val="a"/>
    <w:qFormat/>
    <w:pPr>
      <w:spacing w:before="100" w:beforeAutospacing="1" w:after="100" w:afterAutospacing="1"/>
      <w:outlineLvl w:val="3"/>
    </w:pPr>
    <w:rPr>
      <w:b/>
      <w:bCs/>
    </w:rPr>
  </w:style>
  <w:style w:type="paragraph" w:styleId="5">
    <w:name w:val="heading 5"/>
    <w:basedOn w:val="a"/>
    <w:next w:val="a"/>
    <w:qFormat/>
    <w:pPr>
      <w:spacing w:before="100" w:beforeAutospacing="1" w:after="100" w:afterAutospacing="1"/>
      <w:outlineLvl w:val="4"/>
    </w:pPr>
    <w:rPr>
      <w:b/>
      <w:bCs/>
      <w:sz w:val="20"/>
      <w:szCs w:val="20"/>
    </w:rPr>
  </w:style>
  <w:style w:type="paragraph" w:styleId="6">
    <w:name w:val="heading 6"/>
    <w:basedOn w:val="a"/>
    <w:next w:val="a"/>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rPr>
      <w:rFonts w:ascii="宋体" w:eastAsia="宋体" w:hAnsi="宋体" w:cs="宋体"/>
      <w:b/>
      <w:bCs/>
      <w:kern w:val="44"/>
      <w:sz w:val="44"/>
      <w:szCs w:val="44"/>
    </w:rPr>
  </w:style>
  <w:style w:type="character" w:customStyle="1" w:styleId="2Char">
    <w:name w:val="标题 2 Char"/>
    <w:basedOn w:val="a0"/>
    <w:rPr>
      <w:rFonts w:asciiTheme="majorHAnsi" w:eastAsiaTheme="majorEastAsia" w:hAnsiTheme="majorHAnsi" w:cstheme="majorBidi"/>
      <w:b/>
      <w:bCs/>
      <w:sz w:val="32"/>
      <w:szCs w:val="32"/>
    </w:rPr>
  </w:style>
  <w:style w:type="character" w:customStyle="1" w:styleId="3Char">
    <w:name w:val="标题 3 Char"/>
    <w:basedOn w:val="a0"/>
    <w:rPr>
      <w:rFonts w:ascii="宋体" w:eastAsia="宋体" w:hAnsi="宋体" w:cs="宋体"/>
      <w:b/>
      <w:bCs/>
      <w:sz w:val="32"/>
      <w:szCs w:val="32"/>
    </w:rPr>
  </w:style>
  <w:style w:type="character" w:customStyle="1" w:styleId="4Char">
    <w:name w:val="标题 4 Char"/>
    <w:basedOn w:val="a0"/>
    <w:rPr>
      <w:rFonts w:asciiTheme="majorHAnsi" w:eastAsiaTheme="majorEastAsia" w:hAnsiTheme="majorHAnsi" w:cstheme="majorBidi"/>
      <w:b/>
      <w:bCs/>
      <w:sz w:val="28"/>
      <w:szCs w:val="28"/>
    </w:rPr>
  </w:style>
  <w:style w:type="character" w:customStyle="1" w:styleId="5Char">
    <w:name w:val="标题 5 Char"/>
    <w:basedOn w:val="a0"/>
    <w:rPr>
      <w:rFonts w:ascii="宋体" w:eastAsia="宋体" w:hAnsi="宋体" w:cs="宋体"/>
      <w:b/>
      <w:bCs/>
      <w:sz w:val="28"/>
      <w:szCs w:val="28"/>
    </w:rPr>
  </w:style>
  <w:style w:type="character" w:customStyle="1" w:styleId="6Char">
    <w:name w:val="标题 6 Char"/>
    <w:basedOn w:val="a0"/>
    <w:rPr>
      <w:rFonts w:asciiTheme="majorHAnsi" w:eastAsiaTheme="majorEastAsia" w:hAnsiTheme="majorHAnsi" w:cstheme="majorBidi"/>
      <w:b/>
      <w:bCs/>
      <w:sz w:val="24"/>
      <w:szCs w:val="24"/>
    </w:rPr>
  </w:style>
  <w:style w:type="paragraph" w:styleId="a3">
    <w:name w:val="Normal (Web)"/>
    <w:basedOn w:val="a"/>
    <w:pPr>
      <w:spacing w:before="100" w:beforeAutospacing="1" w:after="100" w:afterAutospacing="1"/>
    </w:pPr>
  </w:style>
  <w:style w:type="paragraph" w:styleId="HTML">
    <w:name w:val="HTML Preformatted"/>
    <w:basedOn w:val="a"/>
  </w:style>
  <w:style w:type="character" w:customStyle="1" w:styleId="HTMLChar">
    <w:name w:val="HTML 预设格式 Char"/>
    <w:basedOn w:val="a0"/>
    <w:rPr>
      <w:rFonts w:ascii="Courier New" w:eastAsia="宋体" w:hAnsi="Courier New" w:cs="Courier New"/>
    </w:rPr>
  </w:style>
  <w:style w:type="paragraph" w:customStyle="1" w:styleId="pChar">
    <w:name w:val="p Char"/>
    <w:basedOn w:val="a"/>
    <w:pPr>
      <w:spacing w:before="100" w:beforeAutospacing="1" w:after="100" w:afterAutospacing="1"/>
    </w:pPr>
  </w:style>
  <w:style w:type="paragraph" w:customStyle="1" w:styleId="CharChar">
    <w:name w:val="普通(网站) Char Char"/>
    <w:basedOn w:val="a"/>
    <w:pPr>
      <w:spacing w:before="100" w:beforeAutospacing="1" w:after="100" w:afterAutospacing="1"/>
    </w:pPr>
  </w:style>
  <w:style w:type="paragraph" w:customStyle="1" w:styleId="HTMLChar1">
    <w:name w:val="HTML 预设格式 Char1"/>
    <w:basedOn w:val="a"/>
  </w:style>
  <w:style w:type="paragraph" w:customStyle="1" w:styleId="HTMLCharChar">
    <w:name w:val="HTML 预设格式 Char Char"/>
    <w:basedOn w:val="a"/>
  </w:style>
  <w:style w:type="paragraph" w:customStyle="1" w:styleId="Char">
    <w:name w:val="普通(网站) Char"/>
    <w:basedOn w:val="a"/>
    <w:pPr>
      <w:spacing w:before="100" w:beforeAutospacing="1" w:after="100" w:afterAutospacing="1"/>
    </w:pPr>
  </w:style>
  <w:style w:type="character" w:customStyle="1" w:styleId="10">
    <w:name w:val="10"/>
    <w:basedOn w:val="a0"/>
    <w:rPr>
      <w:rFonts w:ascii="Times New Roman" w:hAnsi="Times New Roman" w:cs="Times New Roman" w:hint="default"/>
    </w:rPr>
  </w:style>
  <w:style w:type="character" w:customStyle="1" w:styleId="15">
    <w:name w:val="15"/>
    <w:basedOn w:val="a0"/>
    <w:rPr>
      <w:rFonts w:ascii="Times New Roman" w:hAnsi="Times New Roman" w:cs="Times New Roman" w:hint="default"/>
    </w:rPr>
  </w:style>
  <w:style w:type="character" w:customStyle="1" w:styleId="16">
    <w:name w:val="16"/>
    <w:basedOn w:val="a0"/>
    <w:rPr>
      <w:rFonts w:ascii="Times New Roman" w:hAnsi="Times New Roman" w:cs="Times New Roman" w:hint="default"/>
    </w:rPr>
  </w:style>
  <w:style w:type="character" w:customStyle="1" w:styleId="17">
    <w:name w:val="17"/>
    <w:basedOn w:val="a0"/>
    <w:rPr>
      <w:rFonts w:ascii="Times New Roman" w:hAnsi="Times New Roman" w:cs="Times New Roman" w:hint="default"/>
    </w:rPr>
  </w:style>
  <w:style w:type="character" w:customStyle="1" w:styleId="18">
    <w:name w:val="18"/>
    <w:basedOn w:val="a0"/>
    <w:rPr>
      <w:rFonts w:ascii="Times New Roman" w:hAnsi="Times New Roman" w:cs="Times New Roman" w:hint="default"/>
    </w:rPr>
  </w:style>
  <w:style w:type="paragraph" w:styleId="a4">
    <w:name w:val="header"/>
    <w:basedOn w:val="a"/>
    <w:link w:val="Char0"/>
    <w:rsid w:val="003171B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3171B8"/>
    <w:rPr>
      <w:rFonts w:ascii="宋体" w:eastAsia="宋体" w:hAnsi="宋体" w:cs="宋体"/>
      <w:sz w:val="18"/>
      <w:szCs w:val="18"/>
    </w:rPr>
  </w:style>
  <w:style w:type="paragraph" w:styleId="a5">
    <w:name w:val="footer"/>
    <w:basedOn w:val="a"/>
    <w:link w:val="Char1"/>
    <w:rsid w:val="003171B8"/>
    <w:pPr>
      <w:tabs>
        <w:tab w:val="center" w:pos="4153"/>
        <w:tab w:val="right" w:pos="8306"/>
      </w:tabs>
      <w:snapToGrid w:val="0"/>
    </w:pPr>
    <w:rPr>
      <w:sz w:val="18"/>
      <w:szCs w:val="18"/>
    </w:rPr>
  </w:style>
  <w:style w:type="character" w:customStyle="1" w:styleId="Char1">
    <w:name w:val="页脚 Char"/>
    <w:basedOn w:val="a0"/>
    <w:link w:val="a5"/>
    <w:rsid w:val="003171B8"/>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1" w:defQFormat="0" w:count="267">
    <w:lsdException w:name="Normal"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semiHidden="1" w:uiPriority="0" w:qFormat="1"/>
    <w:lsdException w:name="heading 8" w:semiHidden="1" w:uiPriority="0" w:qFormat="1"/>
    <w:lsdException w:name="heading 9" w:semiHidden="1" w:uiPriority="0" w:qFormat="1"/>
    <w:lsdException w:name="index 1" w:uiPriority="0" w:unhideWhenUsed="0"/>
    <w:lsdException w:name="index 2" w:uiPriority="0" w:unhideWhenUsed="0"/>
    <w:lsdException w:name="index 3" w:uiPriority="0" w:unhideWhenUsed="0"/>
    <w:lsdException w:name="index 4" w:uiPriority="0" w:unhideWhenUsed="0"/>
    <w:lsdException w:name="index 5" w:uiPriority="0" w:unhideWhenUsed="0"/>
    <w:lsdException w:name="index 6" w:uiPriority="0" w:unhideWhenUsed="0"/>
    <w:lsdException w:name="index 7" w:uiPriority="0" w:unhideWhenUsed="0"/>
    <w:lsdException w:name="index 8" w:uiPriority="0" w:unhideWhenUsed="0"/>
    <w:lsdException w:name="index 9" w:uiPriority="0" w:unhideWhenUsed="0"/>
    <w:lsdException w:name="toc 1" w:uiPriority="0" w:unhideWhenUsed="0"/>
    <w:lsdException w:name="toc 2" w:uiPriority="0" w:unhideWhenUsed="0"/>
    <w:lsdException w:name="toc 3" w:uiPriority="0"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Normal Indent" w:uiPriority="0" w:unhideWhenUsed="0"/>
    <w:lsdException w:name="footnote text" w:uiPriority="0" w:unhideWhenUsed="0"/>
    <w:lsdException w:name="annotation text" w:uiPriority="0" w:unhideWhenUsed="0"/>
    <w:lsdException w:name="header" w:uiPriority="0" w:unhideWhenUsed="0"/>
    <w:lsdException w:name="footer" w:uiPriority="0" w:unhideWhenUsed="0"/>
    <w:lsdException w:name="index heading" w:uiPriority="0" w:unhideWhenUsed="0"/>
    <w:lsdException w:name="caption" w:semiHidden="1" w:uiPriority="0" w:qFormat="1"/>
    <w:lsdException w:name="table of figures" w:uiPriority="0" w:unhideWhenUsed="0"/>
    <w:lsdException w:name="envelope address" w:uiPriority="0" w:unhideWhenUsed="0"/>
    <w:lsdException w:name="envelope return" w:uiPriority="0" w:unhideWhenUsed="0"/>
    <w:lsdException w:name="footnote reference" w:uiPriority="0" w:unhideWhenUsed="0"/>
    <w:lsdException w:name="annotation reference" w:uiPriority="0" w:unhideWhenUsed="0"/>
    <w:lsdException w:name="line number" w:uiPriority="0" w:unhideWhenUsed="0"/>
    <w:lsdException w:name="page number" w:uiPriority="0" w:unhideWhenUsed="0"/>
    <w:lsdException w:name="endnote reference" w:uiPriority="0" w:unhideWhenUsed="0"/>
    <w:lsdException w:name="endnote text" w:uiPriority="0" w:unhideWhenUsed="0"/>
    <w:lsdException w:name="table of authorities" w:uiPriority="0" w:unhideWhenUsed="0"/>
    <w:lsdException w:name="macro" w:uiPriority="0" w:unhideWhenUsed="0"/>
    <w:lsdException w:name="toa heading" w:uiPriority="0" w:unhideWhenUsed="0"/>
    <w:lsdException w:name="List" w:uiPriority="0" w:unhideWhenUsed="0"/>
    <w:lsdException w:name="List Bullet" w:uiPriority="0" w:unhideWhenUsed="0"/>
    <w:lsdException w:name="List Number" w:uiPriority="0" w:unhideWhenUsed="0"/>
    <w:lsdException w:name="List 2" w:uiPriority="0" w:unhideWhenUsed="0"/>
    <w:lsdException w:name="List 3" w:uiPriority="0" w:unhideWhenUsed="0"/>
    <w:lsdException w:name="List 4" w:uiPriority="0" w:unhideWhenUsed="0"/>
    <w:lsdException w:name="List 5" w:uiPriority="0" w:unhideWhenUsed="0"/>
    <w:lsdException w:name="List Bullet 2" w:uiPriority="0" w:unhideWhenUsed="0"/>
    <w:lsdException w:name="List Bullet 3" w:uiPriority="0" w:unhideWhenUsed="0"/>
    <w:lsdException w:name="List Bullet 4" w:uiPriority="0" w:unhideWhenUsed="0"/>
    <w:lsdException w:name="List Bullet 5" w:uiPriority="0" w:unhideWhenUsed="0"/>
    <w:lsdException w:name="List Number 2" w:uiPriority="0" w:unhideWhenUsed="0"/>
    <w:lsdException w:name="List Number 3" w:uiPriority="0" w:unhideWhenUsed="0"/>
    <w:lsdException w:name="List Number 4" w:uiPriority="0" w:unhideWhenUsed="0"/>
    <w:lsdException w:name="List Number 5" w:uiPriority="0" w:unhideWhenUsed="0"/>
    <w:lsdException w:name="Title" w:uiPriority="0" w:unhideWhenUsed="0" w:qFormat="1"/>
    <w:lsdException w:name="Closing" w:uiPriority="0" w:unhideWhenUsed="0"/>
    <w:lsdException w:name="Signature" w:uiPriority="0" w:unhideWhenUsed="0"/>
    <w:lsdException w:name="Body Text" w:uiPriority="0" w:unhideWhenUsed="0" w:qFormat="1"/>
    <w:lsdException w:name="Body Text Indent" w:uiPriority="0" w:unhideWhenUsed="0" w:qFormat="1"/>
    <w:lsdException w:name="List Continue" w:uiPriority="0" w:unhideWhenUsed="0"/>
    <w:lsdException w:name="List Continue 2" w:uiPriority="0" w:unhideWhenUsed="0"/>
    <w:lsdException w:name="List Continue 3" w:uiPriority="0" w:unhideWhenUsed="0"/>
    <w:lsdException w:name="List Continue 4" w:uiPriority="0" w:unhideWhenUsed="0"/>
    <w:lsdException w:name="List Continue 5" w:uiPriority="0" w:unhideWhenUsed="0"/>
    <w:lsdException w:name="Message Header" w:uiPriority="0" w:unhideWhenUsed="0"/>
    <w:lsdException w:name="Subtitle" w:uiPriority="0" w:unhideWhenUsed="0" w:qFormat="1"/>
    <w:lsdException w:name="Salutation" w:uiPriority="0" w:unhideWhenUsed="0"/>
    <w:lsdException w:name="Date" w:uiPriority="0" w:unhideWhenUsed="0"/>
    <w:lsdException w:name="Body Text First Indent" w:uiPriority="0" w:unhideWhenUsed="0"/>
    <w:lsdException w:name="Body Text First Indent 2" w:uiPriority="0" w:unhideWhenUsed="0" w:qFormat="1"/>
    <w:lsdException w:name="Note Heading" w:uiPriority="0" w:unhideWhenUsed="0"/>
    <w:lsdException w:name="Body Text 2" w:uiPriority="0" w:unhideWhenUsed="0"/>
    <w:lsdException w:name="Body Text 3" w:uiPriority="0" w:unhideWhenUsed="0"/>
    <w:lsdException w:name="Body Text Indent 2" w:uiPriority="0" w:unhideWhenUsed="0"/>
    <w:lsdException w:name="Body Text Indent 3" w:uiPriority="0" w:unhideWhenUsed="0"/>
    <w:lsdException w:name="Block Text" w:uiPriority="0" w:unhideWhenUsed="0"/>
    <w:lsdException w:name="Hyperlink" w:uiPriority="0" w:unhideWhenUsed="0"/>
    <w:lsdException w:name="FollowedHyperlink" w:uiPriority="0" w:unhideWhenUsed="0"/>
    <w:lsdException w:name="Strong" w:uiPriority="0" w:unhideWhenUsed="0" w:qFormat="1"/>
    <w:lsdException w:name="Emphasis" w:uiPriority="0" w:unhideWhenUsed="0" w:qFormat="1"/>
    <w:lsdException w:name="Document Map" w:uiPriority="0" w:unhideWhenUsed="0"/>
    <w:lsdException w:name="Plain Text" w:uiPriority="0" w:unhideWhenUsed="0"/>
    <w:lsdException w:name="E-mail Signature" w:uiPriority="0" w:unhideWhenUsed="0"/>
    <w:lsdException w:name="HTML Top of Form" w:semiHidden="1"/>
    <w:lsdException w:name="HTML Bottom of Form" w:semiHidden="1"/>
    <w:lsdException w:name="Normal (Web)" w:uiPriority="0" w:unhideWhenUsed="0"/>
    <w:lsdException w:name="HTML Acronym" w:uiPriority="0" w:unhideWhenUsed="0"/>
    <w:lsdException w:name="HTML Address" w:uiPriority="0" w:unhideWhenUsed="0"/>
    <w:lsdException w:name="HTML Cite" w:uiPriority="0" w:unhideWhenUsed="0"/>
    <w:lsdException w:name="HTML Code" w:uiPriority="0" w:unhideWhenUsed="0"/>
    <w:lsdException w:name="HTML Definition" w:uiPriority="0" w:unhideWhenUsed="0"/>
    <w:lsdException w:name="HTML Keyboard" w:uiPriority="0" w:unhideWhenUsed="0"/>
    <w:lsdException w:name="HTML Preformatted" w:uiPriority="0" w:unhideWhenUsed="0"/>
    <w:lsdException w:name="HTML Sample" w:uiPriority="0" w:unhideWhenUsed="0"/>
    <w:lsdException w:name="HTML Typewriter" w:uiPriority="0" w:unhideWhenUsed="0"/>
    <w:lsdException w:name="HTML Variable" w:uiPriority="0" w:unhideWhenUsed="0"/>
    <w:lsdException w:name="annotation subject" w:uiPriority="0" w:unhideWhenUsed="0"/>
    <w:lsdException w:name="Outline List 1" w:semiHidden="1"/>
    <w:lsdException w:name="Outline List 2" w:semiHidden="1"/>
    <w:lsdException w:name="Outline List 3" w:semiHidden="1"/>
    <w:lsdException w:name="Balloon Text" w:uiPriority="0" w:unhideWhenUsed="0"/>
    <w:lsdException w:name="No Spacing" w:unhideWhenUsed="0" w:qFormat="1"/>
    <w:lsdException w:name="Revision" w:semiHidden="1"/>
    <w:lsdException w:name="List Paragraph" w:unhideWhenUsed="0" w:qFormat="1"/>
    <w:lsdException w:name="Quote" w:unhideWhenUsed="0" w:qFormat="1"/>
    <w:lsdException w:name="Intense Quote" w:unhideWhenUsed="0" w:qFormat="1"/>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Pr>
      <w:rFonts w:ascii="宋体" w:eastAsia="宋体" w:hAnsi="宋体" w:cs="宋体"/>
      <w:sz w:val="24"/>
      <w:szCs w:val="24"/>
    </w:rPr>
  </w:style>
  <w:style w:type="paragraph" w:styleId="1">
    <w:name w:val="heading 1"/>
    <w:basedOn w:val="a"/>
    <w:next w:val="a"/>
    <w:qFormat/>
    <w:pPr>
      <w:spacing w:before="100" w:beforeAutospacing="1" w:after="100" w:afterAutospacing="1"/>
      <w:outlineLvl w:val="0"/>
    </w:pPr>
    <w:rPr>
      <w:b/>
      <w:bCs/>
      <w:kern w:val="44"/>
      <w:sz w:val="48"/>
      <w:szCs w:val="48"/>
    </w:rPr>
  </w:style>
  <w:style w:type="paragraph" w:styleId="2">
    <w:name w:val="heading 2"/>
    <w:basedOn w:val="a"/>
    <w:next w:val="a"/>
    <w:qFormat/>
    <w:pPr>
      <w:spacing w:before="100" w:beforeAutospacing="1" w:after="100" w:afterAutospacing="1"/>
      <w:outlineLvl w:val="1"/>
    </w:pPr>
    <w:rPr>
      <w:b/>
      <w:bCs/>
      <w:sz w:val="36"/>
      <w:szCs w:val="36"/>
    </w:rPr>
  </w:style>
  <w:style w:type="paragraph" w:styleId="3">
    <w:name w:val="heading 3"/>
    <w:basedOn w:val="a"/>
    <w:next w:val="a"/>
    <w:qFormat/>
    <w:pPr>
      <w:spacing w:before="100" w:beforeAutospacing="1" w:after="100" w:afterAutospacing="1"/>
      <w:outlineLvl w:val="2"/>
    </w:pPr>
    <w:rPr>
      <w:b/>
      <w:bCs/>
      <w:sz w:val="27"/>
      <w:szCs w:val="27"/>
    </w:rPr>
  </w:style>
  <w:style w:type="paragraph" w:styleId="4">
    <w:name w:val="heading 4"/>
    <w:basedOn w:val="a"/>
    <w:next w:val="a"/>
    <w:qFormat/>
    <w:pPr>
      <w:spacing w:before="100" w:beforeAutospacing="1" w:after="100" w:afterAutospacing="1"/>
      <w:outlineLvl w:val="3"/>
    </w:pPr>
    <w:rPr>
      <w:b/>
      <w:bCs/>
    </w:rPr>
  </w:style>
  <w:style w:type="paragraph" w:styleId="5">
    <w:name w:val="heading 5"/>
    <w:basedOn w:val="a"/>
    <w:next w:val="a"/>
    <w:qFormat/>
    <w:pPr>
      <w:spacing w:before="100" w:beforeAutospacing="1" w:after="100" w:afterAutospacing="1"/>
      <w:outlineLvl w:val="4"/>
    </w:pPr>
    <w:rPr>
      <w:b/>
      <w:bCs/>
      <w:sz w:val="20"/>
      <w:szCs w:val="20"/>
    </w:rPr>
  </w:style>
  <w:style w:type="paragraph" w:styleId="6">
    <w:name w:val="heading 6"/>
    <w:basedOn w:val="a"/>
    <w:next w:val="a"/>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rPr>
      <w:rFonts w:ascii="宋体" w:eastAsia="宋体" w:hAnsi="宋体" w:cs="宋体"/>
      <w:b/>
      <w:bCs/>
      <w:kern w:val="44"/>
      <w:sz w:val="44"/>
      <w:szCs w:val="44"/>
    </w:rPr>
  </w:style>
  <w:style w:type="character" w:customStyle="1" w:styleId="2Char">
    <w:name w:val="标题 2 Char"/>
    <w:basedOn w:val="a0"/>
    <w:rPr>
      <w:rFonts w:asciiTheme="majorHAnsi" w:eastAsiaTheme="majorEastAsia" w:hAnsiTheme="majorHAnsi" w:cstheme="majorBidi"/>
      <w:b/>
      <w:bCs/>
      <w:sz w:val="32"/>
      <w:szCs w:val="32"/>
    </w:rPr>
  </w:style>
  <w:style w:type="character" w:customStyle="1" w:styleId="3Char">
    <w:name w:val="标题 3 Char"/>
    <w:basedOn w:val="a0"/>
    <w:rPr>
      <w:rFonts w:ascii="宋体" w:eastAsia="宋体" w:hAnsi="宋体" w:cs="宋体"/>
      <w:b/>
      <w:bCs/>
      <w:sz w:val="32"/>
      <w:szCs w:val="32"/>
    </w:rPr>
  </w:style>
  <w:style w:type="character" w:customStyle="1" w:styleId="4Char">
    <w:name w:val="标题 4 Char"/>
    <w:basedOn w:val="a0"/>
    <w:rPr>
      <w:rFonts w:asciiTheme="majorHAnsi" w:eastAsiaTheme="majorEastAsia" w:hAnsiTheme="majorHAnsi" w:cstheme="majorBidi"/>
      <w:b/>
      <w:bCs/>
      <w:sz w:val="28"/>
      <w:szCs w:val="28"/>
    </w:rPr>
  </w:style>
  <w:style w:type="character" w:customStyle="1" w:styleId="5Char">
    <w:name w:val="标题 5 Char"/>
    <w:basedOn w:val="a0"/>
    <w:rPr>
      <w:rFonts w:ascii="宋体" w:eastAsia="宋体" w:hAnsi="宋体" w:cs="宋体"/>
      <w:b/>
      <w:bCs/>
      <w:sz w:val="28"/>
      <w:szCs w:val="28"/>
    </w:rPr>
  </w:style>
  <w:style w:type="character" w:customStyle="1" w:styleId="6Char">
    <w:name w:val="标题 6 Char"/>
    <w:basedOn w:val="a0"/>
    <w:rPr>
      <w:rFonts w:asciiTheme="majorHAnsi" w:eastAsiaTheme="majorEastAsia" w:hAnsiTheme="majorHAnsi" w:cstheme="majorBidi"/>
      <w:b/>
      <w:bCs/>
      <w:sz w:val="24"/>
      <w:szCs w:val="24"/>
    </w:rPr>
  </w:style>
  <w:style w:type="paragraph" w:styleId="a3">
    <w:name w:val="Normal (Web)"/>
    <w:basedOn w:val="a"/>
    <w:pPr>
      <w:spacing w:before="100" w:beforeAutospacing="1" w:after="100" w:afterAutospacing="1"/>
    </w:pPr>
  </w:style>
  <w:style w:type="paragraph" w:styleId="HTML">
    <w:name w:val="HTML Preformatted"/>
    <w:basedOn w:val="a"/>
  </w:style>
  <w:style w:type="character" w:customStyle="1" w:styleId="HTMLChar">
    <w:name w:val="HTML 预设格式 Char"/>
    <w:basedOn w:val="a0"/>
    <w:rPr>
      <w:rFonts w:ascii="Courier New" w:eastAsia="宋体" w:hAnsi="Courier New" w:cs="Courier New"/>
    </w:rPr>
  </w:style>
  <w:style w:type="paragraph" w:customStyle="1" w:styleId="pChar">
    <w:name w:val="p Char"/>
    <w:basedOn w:val="a"/>
    <w:pPr>
      <w:spacing w:before="100" w:beforeAutospacing="1" w:after="100" w:afterAutospacing="1"/>
    </w:pPr>
  </w:style>
  <w:style w:type="paragraph" w:customStyle="1" w:styleId="CharChar">
    <w:name w:val="普通(网站) Char Char"/>
    <w:basedOn w:val="a"/>
    <w:pPr>
      <w:spacing w:before="100" w:beforeAutospacing="1" w:after="100" w:afterAutospacing="1"/>
    </w:pPr>
  </w:style>
  <w:style w:type="paragraph" w:customStyle="1" w:styleId="HTMLChar1">
    <w:name w:val="HTML 预设格式 Char1"/>
    <w:basedOn w:val="a"/>
  </w:style>
  <w:style w:type="paragraph" w:customStyle="1" w:styleId="HTMLCharChar">
    <w:name w:val="HTML 预设格式 Char Char"/>
    <w:basedOn w:val="a"/>
  </w:style>
  <w:style w:type="paragraph" w:customStyle="1" w:styleId="Char">
    <w:name w:val="普通(网站) Char"/>
    <w:basedOn w:val="a"/>
    <w:pPr>
      <w:spacing w:before="100" w:beforeAutospacing="1" w:after="100" w:afterAutospacing="1"/>
    </w:pPr>
  </w:style>
  <w:style w:type="character" w:customStyle="1" w:styleId="10">
    <w:name w:val="10"/>
    <w:basedOn w:val="a0"/>
    <w:rPr>
      <w:rFonts w:ascii="Times New Roman" w:hAnsi="Times New Roman" w:cs="Times New Roman" w:hint="default"/>
    </w:rPr>
  </w:style>
  <w:style w:type="character" w:customStyle="1" w:styleId="15">
    <w:name w:val="15"/>
    <w:basedOn w:val="a0"/>
    <w:rPr>
      <w:rFonts w:ascii="Times New Roman" w:hAnsi="Times New Roman" w:cs="Times New Roman" w:hint="default"/>
    </w:rPr>
  </w:style>
  <w:style w:type="character" w:customStyle="1" w:styleId="16">
    <w:name w:val="16"/>
    <w:basedOn w:val="a0"/>
    <w:rPr>
      <w:rFonts w:ascii="Times New Roman" w:hAnsi="Times New Roman" w:cs="Times New Roman" w:hint="default"/>
    </w:rPr>
  </w:style>
  <w:style w:type="character" w:customStyle="1" w:styleId="17">
    <w:name w:val="17"/>
    <w:basedOn w:val="a0"/>
    <w:rPr>
      <w:rFonts w:ascii="Times New Roman" w:hAnsi="Times New Roman" w:cs="Times New Roman" w:hint="default"/>
    </w:rPr>
  </w:style>
  <w:style w:type="character" w:customStyle="1" w:styleId="18">
    <w:name w:val="18"/>
    <w:basedOn w:val="a0"/>
    <w:rPr>
      <w:rFonts w:ascii="Times New Roman" w:hAnsi="Times New Roman" w:cs="Times New Roman" w:hint="default"/>
    </w:rPr>
  </w:style>
  <w:style w:type="paragraph" w:styleId="a4">
    <w:name w:val="header"/>
    <w:basedOn w:val="a"/>
    <w:link w:val="Char0"/>
    <w:rsid w:val="003171B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3171B8"/>
    <w:rPr>
      <w:rFonts w:ascii="宋体" w:eastAsia="宋体" w:hAnsi="宋体" w:cs="宋体"/>
      <w:sz w:val="18"/>
      <w:szCs w:val="18"/>
    </w:rPr>
  </w:style>
  <w:style w:type="paragraph" w:styleId="a5">
    <w:name w:val="footer"/>
    <w:basedOn w:val="a"/>
    <w:link w:val="Char1"/>
    <w:rsid w:val="003171B8"/>
    <w:pPr>
      <w:tabs>
        <w:tab w:val="center" w:pos="4153"/>
        <w:tab w:val="right" w:pos="8306"/>
      </w:tabs>
      <w:snapToGrid w:val="0"/>
    </w:pPr>
    <w:rPr>
      <w:sz w:val="18"/>
      <w:szCs w:val="18"/>
    </w:rPr>
  </w:style>
  <w:style w:type="character" w:customStyle="1" w:styleId="Char1">
    <w:name w:val="页脚 Char"/>
    <w:basedOn w:val="a0"/>
    <w:link w:val="a5"/>
    <w:rsid w:val="003171B8"/>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白梦洁</cp:lastModifiedBy>
  <cp:revision>6</cp:revision>
  <dcterms:created xsi:type="dcterms:W3CDTF">2019-01-29T05:47:00Z</dcterms:created>
  <dcterms:modified xsi:type="dcterms:W3CDTF">2019-01-30T04:22:00Z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