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90" w:rsidRDefault="009446F4" w:rsidP="005F2458">
      <w:pPr>
        <w:autoSpaceDE w:val="0"/>
        <w:autoSpaceDN w:val="0"/>
        <w:spacing w:before="100" w:beforeAutospacing="1" w:after="100" w:afterAutospacing="1"/>
        <w:jc w:val="center"/>
      </w:pPr>
      <w:bookmarkStart w:id="0" w:name="_GoBack"/>
      <w:bookmarkEnd w:id="0"/>
      <w:r>
        <w:rPr>
          <w:rFonts w:ascii="方正小标宋_GBK" w:eastAsia="方正小标宋_GBK" w:hint="eastAsia"/>
          <w:color w:val="000000"/>
          <w:sz w:val="36"/>
          <w:szCs w:val="36"/>
        </w:rPr>
        <w:t>推荐性医疗器械国家标准计划项目建议书</w:t>
      </w:r>
    </w:p>
    <w:tbl>
      <w:tblPr>
        <w:tblW w:w="9108" w:type="dxa"/>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36"/>
        <w:gridCol w:w="2018"/>
        <w:gridCol w:w="376"/>
        <w:gridCol w:w="547"/>
        <w:gridCol w:w="90"/>
        <w:gridCol w:w="1201"/>
        <w:gridCol w:w="318"/>
        <w:gridCol w:w="134"/>
        <w:gridCol w:w="172"/>
        <w:gridCol w:w="156"/>
        <w:gridCol w:w="89"/>
        <w:gridCol w:w="83"/>
        <w:gridCol w:w="649"/>
        <w:gridCol w:w="1729"/>
        <w:gridCol w:w="410"/>
      </w:tblGrid>
      <w:tr w:rsidR="00AD3790" w:rsidTr="005F2458">
        <w:trPr>
          <w:gridAfter w:val="1"/>
          <w:wAfter w:w="410" w:type="dxa"/>
        </w:trPr>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rPr>
              <w:t>项目名称</w:t>
            </w:r>
          </w:p>
          <w:p w:rsidR="00AD3790" w:rsidRDefault="009446F4">
            <w:pPr>
              <w:autoSpaceDE w:val="0"/>
              <w:autoSpaceDN w:val="0"/>
              <w:spacing w:before="100" w:beforeAutospacing="1" w:after="100" w:afterAutospacing="1"/>
            </w:pPr>
            <w:r>
              <w:rPr>
                <w:rFonts w:ascii="仿宋_GB2312" w:eastAsia="仿宋_GB2312" w:hint="eastAsia"/>
              </w:rPr>
              <w:t>（中文）</w:t>
            </w:r>
          </w:p>
        </w:tc>
        <w:tc>
          <w:tcPr>
            <w:tcW w:w="7562"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1" w:name="xmzwmc"/>
            <w:r>
              <w:rPr>
                <w:rFonts w:hint="eastAsia"/>
              </w:rPr>
              <w:t>医疗器械 质量管理体系 用于法规的要求</w:t>
            </w:r>
            <w:bookmarkEnd w:id="1"/>
            <w:r>
              <w:rPr>
                <w:rFonts w:hint="eastAsia"/>
              </w:rPr>
              <w:t xml:space="preserve">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项目名称</w:t>
            </w:r>
          </w:p>
          <w:p w:rsidR="00AD3790" w:rsidRDefault="009446F4">
            <w:pPr>
              <w:autoSpaceDE w:val="0"/>
              <w:autoSpaceDN w:val="0"/>
              <w:spacing w:before="100" w:beforeAutospacing="1" w:after="100" w:afterAutospacing="1"/>
            </w:pPr>
            <w:r>
              <w:rPr>
                <w:rFonts w:ascii="仿宋_GB2312" w:eastAsia="仿宋_GB2312" w:hint="eastAsia"/>
                <w:color w:val="000000"/>
              </w:rPr>
              <w:t>（英文）</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2" w:name="xmywmc"/>
            <w:r>
              <w:rPr>
                <w:rFonts w:hint="eastAsia"/>
              </w:rPr>
              <w:t xml:space="preserve">Medical devices—Quality management systems—Requirements for regulatory purposes </w:t>
            </w:r>
            <w:bookmarkEnd w:id="2"/>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起草单位</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3" w:name="qicdanw"/>
            <w:r>
              <w:rPr>
                <w:rFonts w:hint="eastAsia"/>
              </w:rPr>
              <w:t>北京</w:t>
            </w:r>
            <w:proofErr w:type="gramStart"/>
            <w:r>
              <w:rPr>
                <w:rFonts w:hint="eastAsia"/>
              </w:rPr>
              <w:t>国医械华光</w:t>
            </w:r>
            <w:proofErr w:type="gramEnd"/>
            <w:r>
              <w:rPr>
                <w:rFonts w:hint="eastAsia"/>
              </w:rPr>
              <w:t>认证有限公司</w:t>
            </w:r>
            <w:bookmarkEnd w:id="3"/>
            <w:r w:rsidR="0011770B">
              <w:rPr>
                <w:rFonts w:hint="eastAsia"/>
              </w:rPr>
              <w:t xml:space="preserve"> 、</w:t>
            </w:r>
            <w:r>
              <w:rPr>
                <w:rFonts w:hint="eastAsia"/>
              </w:rPr>
              <w:t>中国食品药品检定研究院</w:t>
            </w:r>
            <w:r>
              <w:rPr>
                <w:rFonts w:ascii="仿宋_GB2312" w:eastAsia="仿宋_GB2312" w:hint="eastAsia"/>
                <w:color w:val="000000"/>
              </w:rPr>
              <w:t> </w:t>
            </w:r>
          </w:p>
        </w:tc>
        <w:tc>
          <w:tcPr>
            <w:tcW w:w="246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技委会或归口单位国内代号及名称</w:t>
            </w:r>
          </w:p>
        </w:tc>
        <w:tc>
          <w:tcPr>
            <w:tcW w:w="270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4" w:name="guikdanw"/>
            <w:r>
              <w:rPr>
                <w:rFonts w:hint="eastAsia"/>
              </w:rPr>
              <w:t>SAC/TC221全国医疗器械质量管理和通用要求标准化技术委员会</w:t>
            </w:r>
            <w:bookmarkEnd w:id="4"/>
            <w:r>
              <w:rPr>
                <w:rFonts w:hint="eastAsia"/>
              </w:rPr>
              <w:t xml:space="preserve"> </w:t>
            </w:r>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rPr>
              <w:t>制定或修订</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5" w:name="sbleix"/>
            <w:r>
              <w:rPr>
                <w:rFonts w:hint="eastAsia"/>
              </w:rPr>
              <w:t>制定</w:t>
            </w:r>
            <w:bookmarkEnd w:id="5"/>
            <w:r>
              <w:rPr>
                <w:rFonts w:hint="eastAsia"/>
              </w:rPr>
              <w:t xml:space="preserve"> </w:t>
            </w:r>
            <w:r>
              <w:rPr>
                <w:rFonts w:ascii="仿宋_GB2312" w:eastAsia="仿宋_GB2312" w:hint="eastAsia"/>
                <w:color w:val="000000"/>
              </w:rPr>
              <w:t> </w:t>
            </w:r>
          </w:p>
        </w:tc>
        <w:tc>
          <w:tcPr>
            <w:tcW w:w="246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被修订标准编号</w:t>
            </w:r>
          </w:p>
        </w:tc>
        <w:tc>
          <w:tcPr>
            <w:tcW w:w="270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rPr>
                <w:rFonts w:eastAsia="仿宋_GB2312"/>
              </w:rPr>
            </w:pPr>
            <w:bookmarkStart w:id="6" w:name="bzbhaoOld"/>
            <w:bookmarkEnd w:id="6"/>
            <w:r>
              <w:rPr>
                <w:rFonts w:ascii="仿宋_GB2312" w:eastAsia="仿宋_GB2312" w:hint="eastAsia"/>
                <w:color w:val="000000"/>
              </w:rPr>
              <w:t> </w:t>
            </w:r>
            <w:r>
              <w:rPr>
                <w:rFonts w:ascii="仿宋_GB2312" w:eastAsia="仿宋_GB2312" w:hint="eastAsia"/>
                <w:color w:val="000000"/>
              </w:rPr>
              <w:t>/</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拟采用国际标准名称（中文）</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7" w:name="bzzwmc"/>
            <w:r>
              <w:rPr>
                <w:rFonts w:hint="eastAsia"/>
              </w:rPr>
              <w:t>医疗器械 质量管理体系 用于法规的要求</w:t>
            </w:r>
            <w:bookmarkEnd w:id="7"/>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拟采用国际标准名称（英文）</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8" w:name="bzywmc"/>
            <w:r>
              <w:rPr>
                <w:rFonts w:hint="eastAsia"/>
              </w:rPr>
              <w:t>Medical devices—Quality management systems—Requirements for regulatory purposes</w:t>
            </w:r>
            <w:bookmarkEnd w:id="8"/>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国际标准号</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9" w:name="bzbhao"/>
            <w:r>
              <w:rPr>
                <w:rFonts w:hint="eastAsia"/>
              </w:rPr>
              <w:t xml:space="preserve">ISO </w:t>
            </w:r>
            <w:bookmarkEnd w:id="9"/>
            <w:r w:rsidR="0011770B">
              <w:rPr>
                <w:rFonts w:hint="eastAsia"/>
              </w:rPr>
              <w:t>13485:2016</w:t>
            </w:r>
          </w:p>
        </w:tc>
        <w:tc>
          <w:tcPr>
            <w:tcW w:w="22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ICS分类号</w:t>
            </w:r>
          </w:p>
        </w:tc>
        <w:tc>
          <w:tcPr>
            <w:tcW w:w="287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10" w:name="icshao"/>
            <w:r>
              <w:rPr>
                <w:rFonts w:hint="eastAsia"/>
              </w:rPr>
              <w:t>ICS</w:t>
            </w:r>
            <w:r>
              <w:rPr>
                <w:rFonts w:hint="eastAsia"/>
              </w:rPr>
              <w:t> </w:t>
            </w:r>
            <w:r>
              <w:rPr>
                <w:rFonts w:hint="eastAsia"/>
              </w:rPr>
              <w:t>11.040.01; 03.120.10</w:t>
            </w:r>
            <w:bookmarkEnd w:id="10"/>
            <w:r>
              <w:rPr>
                <w:rFonts w:hint="eastAsia"/>
              </w:rPr>
              <w:t xml:space="preserve"> </w:t>
            </w:r>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标准类别</w:t>
            </w:r>
            <w:r>
              <w:rPr>
                <w:rFonts w:ascii="仿宋_GB2312" w:eastAsia="仿宋_GB2312" w:hint="eastAsia"/>
              </w:rPr>
              <w:t>（注1）</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11" w:name="bzleib"/>
            <w:r>
              <w:rPr>
                <w:rFonts w:hint="eastAsia"/>
              </w:rPr>
              <w:t>管理标准</w:t>
            </w:r>
            <w:bookmarkEnd w:id="11"/>
            <w:r>
              <w:rPr>
                <w:rFonts w:hint="eastAsia"/>
              </w:rPr>
              <w:t xml:space="preserve"> </w:t>
            </w:r>
            <w:r>
              <w:rPr>
                <w:rFonts w:ascii="仿宋_GB2312" w:eastAsia="仿宋_GB2312" w:hint="eastAsia"/>
              </w:rPr>
              <w:t> </w:t>
            </w:r>
          </w:p>
        </w:tc>
        <w:tc>
          <w:tcPr>
            <w:tcW w:w="22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rPr>
              <w:t>一致性程度标识</w:t>
            </w:r>
          </w:p>
        </w:tc>
        <w:tc>
          <w:tcPr>
            <w:tcW w:w="287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12" w:name="yzxcdbz"/>
            <w:bookmarkEnd w:id="12"/>
            <w:r>
              <w:rPr>
                <w:rFonts w:ascii="仿宋_GB2312" w:eastAsia="仿宋_GB2312" w:hint="eastAsia"/>
              </w:rPr>
              <w:t>IDT</w:t>
            </w:r>
            <w:r>
              <w:rPr>
                <w:rFonts w:ascii="仿宋_GB2312" w:eastAsia="仿宋_GB2312" w:hint="eastAsia"/>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计划起始时间</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13" w:name="xmksrq"/>
            <w:r>
              <w:rPr>
                <w:rFonts w:hint="eastAsia"/>
              </w:rPr>
              <w:t>2019年1月</w:t>
            </w:r>
            <w:bookmarkEnd w:id="13"/>
            <w:r>
              <w:rPr>
                <w:rFonts w:hint="eastAsia"/>
              </w:rPr>
              <w:t xml:space="preserve"> </w:t>
            </w:r>
            <w:r>
              <w:rPr>
                <w:rFonts w:ascii="仿宋_GB2312" w:eastAsia="仿宋_GB2312" w:hint="eastAsia"/>
                <w:color w:val="000000"/>
              </w:rPr>
              <w:t> </w:t>
            </w:r>
          </w:p>
        </w:tc>
        <w:tc>
          <w:tcPr>
            <w:tcW w:w="22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计划完成时间</w:t>
            </w:r>
          </w:p>
        </w:tc>
        <w:tc>
          <w:tcPr>
            <w:tcW w:w="287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bookmarkStart w:id="14" w:name="xmjssrq"/>
            <w:r>
              <w:rPr>
                <w:rFonts w:hint="eastAsia"/>
              </w:rPr>
              <w:t>2020年10月</w:t>
            </w:r>
            <w:bookmarkEnd w:id="14"/>
            <w:r>
              <w:rPr>
                <w:rFonts w:hint="eastAsia"/>
              </w:rPr>
              <w:t xml:space="preserve"> </w:t>
            </w:r>
            <w:r>
              <w:rPr>
                <w:rFonts w:ascii="仿宋_GB2312" w:eastAsia="仿宋_GB2312" w:hint="eastAsia"/>
                <w:b/>
                <w:bCs/>
                <w:color w:val="000000"/>
              </w:rPr>
              <w:t> </w:t>
            </w:r>
          </w:p>
        </w:tc>
      </w:tr>
      <w:tr w:rsidR="00AD3790" w:rsidTr="005F2458">
        <w:trPr>
          <w:gridAfter w:val="1"/>
          <w:wAfter w:w="410" w:type="dxa"/>
          <w:trHeight w:val="1006"/>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目的、意义</w:t>
            </w:r>
          </w:p>
          <w:p w:rsidR="00AD3790" w:rsidRDefault="009446F4">
            <w:pPr>
              <w:autoSpaceDE w:val="0"/>
              <w:autoSpaceDN w:val="0"/>
              <w:spacing w:before="100" w:beforeAutospacing="1" w:after="100" w:afterAutospacing="1"/>
            </w:pPr>
            <w:r>
              <w:rPr>
                <w:rFonts w:ascii="仿宋_GB2312" w:eastAsia="仿宋_GB2312" w:hint="eastAsia"/>
                <w:color w:val="000000"/>
              </w:rPr>
              <w:t> </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Pr="002669F7" w:rsidRDefault="002669F7" w:rsidP="0019316B">
            <w:pPr>
              <w:ind w:firstLineChars="200" w:firstLine="480"/>
            </w:pPr>
            <w:r>
              <w:rPr>
                <w:rFonts w:ascii="仿宋_GB2312" w:eastAsia="仿宋_GB2312" w:hint="eastAsia"/>
                <w:color w:val="000000"/>
              </w:rPr>
              <w:t>2017年1月19日，原国家食品药品监督管理总局发布了YY/T 0287</w:t>
            </w:r>
            <w:r>
              <w:rPr>
                <w:rFonts w:hint="eastAsia"/>
                <w:color w:val="000000"/>
              </w:rPr>
              <w:t>-</w:t>
            </w:r>
            <w:r>
              <w:rPr>
                <w:rFonts w:ascii="仿宋_GB2312" w:eastAsia="仿宋_GB2312" w:hint="eastAsia"/>
                <w:color w:val="000000"/>
              </w:rPr>
              <w:t>2017《医疗器械 质量管理体系 用于法规的要求》（ISO 13485:2016，IDT），并于2017年5月1日起实施。YY/T 0287-2017的</w:t>
            </w:r>
            <w:r w:rsidR="008152A8">
              <w:rPr>
                <w:rFonts w:ascii="仿宋_GB2312" w:eastAsia="仿宋_GB2312" w:hint="eastAsia"/>
                <w:color w:val="000000"/>
              </w:rPr>
              <w:t>发布实施</w:t>
            </w:r>
            <w:r>
              <w:rPr>
                <w:rFonts w:ascii="仿宋_GB2312" w:eastAsia="仿宋_GB2312" w:hint="eastAsia"/>
                <w:color w:val="000000"/>
              </w:rPr>
              <w:t>加强了医疗器械质量管理，贯彻落实了相关法律法规。但</w:t>
            </w:r>
            <w:r w:rsidR="0019316B">
              <w:rPr>
                <w:rFonts w:ascii="仿宋_GB2312" w:eastAsia="仿宋_GB2312" w:hint="eastAsia"/>
                <w:color w:val="000000"/>
              </w:rPr>
              <w:t>经了解，其他行业质量管理类标准均为国标</w:t>
            </w:r>
            <w:r w:rsidR="00582C50">
              <w:rPr>
                <w:rFonts w:ascii="仿宋_GB2312" w:eastAsia="仿宋_GB2312" w:hint="eastAsia"/>
                <w:color w:val="000000"/>
              </w:rPr>
              <w:t>。</w:t>
            </w:r>
            <w:r>
              <w:rPr>
                <w:rFonts w:ascii="仿宋_GB2312" w:eastAsia="仿宋_GB2312" w:hint="eastAsia"/>
                <w:color w:val="000000"/>
              </w:rPr>
              <w:t>考虑到该标准</w:t>
            </w:r>
            <w:r w:rsidR="008152A8">
              <w:rPr>
                <w:rFonts w:ascii="仿宋_GB2312" w:eastAsia="仿宋_GB2312" w:hint="eastAsia"/>
                <w:color w:val="000000"/>
              </w:rPr>
              <w:t>适用于</w:t>
            </w:r>
            <w:r>
              <w:rPr>
                <w:rFonts w:ascii="仿宋_GB2312" w:eastAsia="仿宋_GB2312" w:hint="eastAsia"/>
                <w:color w:val="000000"/>
              </w:rPr>
              <w:t>医疗器械全生命周期</w:t>
            </w:r>
            <w:r w:rsidR="008152A8">
              <w:rPr>
                <w:rFonts w:ascii="仿宋_GB2312" w:eastAsia="仿宋_GB2312" w:hint="eastAsia"/>
                <w:color w:val="000000"/>
              </w:rPr>
              <w:t>的质量管理</w:t>
            </w:r>
            <w:r>
              <w:rPr>
                <w:rFonts w:ascii="仿宋_GB2312" w:eastAsia="仿宋_GB2312" w:hint="eastAsia"/>
                <w:color w:val="000000"/>
              </w:rPr>
              <w:t>，涉及研</w:t>
            </w:r>
            <w:r w:rsidR="008152A8">
              <w:rPr>
                <w:rFonts w:ascii="仿宋_GB2312" w:eastAsia="仿宋_GB2312" w:hint="eastAsia"/>
                <w:color w:val="000000"/>
              </w:rPr>
              <w:t>发、生产、上市及临床各方面，为</w:t>
            </w:r>
            <w:r w:rsidR="0019316B">
              <w:rPr>
                <w:rFonts w:ascii="仿宋_GB2312" w:eastAsia="仿宋_GB2312" w:hint="eastAsia"/>
                <w:color w:val="000000"/>
              </w:rPr>
              <w:t>提升该标准的实施影响力</w:t>
            </w:r>
            <w:r w:rsidR="008152A8">
              <w:rPr>
                <w:rFonts w:ascii="仿宋_GB2312" w:eastAsia="仿宋_GB2312" w:hint="eastAsia"/>
                <w:color w:val="000000"/>
              </w:rPr>
              <w:t>，建议</w:t>
            </w:r>
            <w:r>
              <w:rPr>
                <w:rFonts w:ascii="仿宋_GB2312" w:eastAsia="仿宋_GB2312" w:hint="eastAsia"/>
                <w:color w:val="000000"/>
              </w:rPr>
              <w:t>上升为推荐性国家标准。转化为国家标准</w:t>
            </w:r>
            <w:r w:rsidRPr="005F2458">
              <w:rPr>
                <w:rFonts w:ascii="仿宋_GB2312" w:eastAsia="仿宋_GB2312" w:hint="eastAsia"/>
                <w:color w:val="000000"/>
              </w:rPr>
              <w:t>将</w:t>
            </w:r>
            <w:r w:rsidR="0019316B">
              <w:rPr>
                <w:rFonts w:ascii="仿宋_GB2312" w:eastAsia="仿宋_GB2312" w:hint="eastAsia"/>
                <w:color w:val="000000"/>
              </w:rPr>
              <w:t>进一步</w:t>
            </w:r>
            <w:r w:rsidR="008152A8">
              <w:rPr>
                <w:rFonts w:ascii="仿宋_GB2312" w:eastAsia="仿宋_GB2312" w:hint="eastAsia"/>
                <w:color w:val="000000"/>
              </w:rPr>
              <w:t>促进标准贯彻实施，完善质量管理标准体系，</w:t>
            </w:r>
            <w:r>
              <w:rPr>
                <w:rFonts w:ascii="仿宋_GB2312" w:eastAsia="仿宋_GB2312" w:hint="eastAsia"/>
                <w:color w:val="000000"/>
              </w:rPr>
              <w:t>有利于</w:t>
            </w:r>
            <w:r w:rsidRPr="005F2458">
              <w:rPr>
                <w:rFonts w:ascii="仿宋_GB2312" w:eastAsia="仿宋_GB2312" w:hint="eastAsia"/>
                <w:color w:val="000000"/>
              </w:rPr>
              <w:t>我国医疗器械</w:t>
            </w:r>
            <w:r w:rsidR="008152A8">
              <w:rPr>
                <w:rFonts w:ascii="仿宋_GB2312" w:eastAsia="仿宋_GB2312" w:hint="eastAsia"/>
                <w:color w:val="000000"/>
              </w:rPr>
              <w:t>监管及</w:t>
            </w:r>
            <w:r w:rsidRPr="005F2458">
              <w:rPr>
                <w:rFonts w:ascii="仿宋_GB2312" w:eastAsia="仿宋_GB2312" w:hint="eastAsia"/>
                <w:color w:val="000000"/>
              </w:rPr>
              <w:t>产业健康持续</w:t>
            </w:r>
            <w:r w:rsidR="008152A8">
              <w:rPr>
                <w:rFonts w:ascii="仿宋_GB2312" w:eastAsia="仿宋_GB2312" w:hint="eastAsia"/>
                <w:color w:val="000000"/>
              </w:rPr>
              <w:t>的</w:t>
            </w:r>
            <w:r w:rsidRPr="005F2458">
              <w:rPr>
                <w:rFonts w:ascii="仿宋_GB2312" w:eastAsia="仿宋_GB2312" w:hint="eastAsia"/>
                <w:color w:val="000000"/>
              </w:rPr>
              <w:t>发展。</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范围和主要技术内容</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rsidP="005F2458">
            <w:pPr>
              <w:autoSpaceDE w:val="0"/>
              <w:autoSpaceDN w:val="0"/>
              <w:spacing w:before="100" w:beforeAutospacing="1" w:after="100" w:afterAutospacing="1"/>
              <w:ind w:firstLineChars="200" w:firstLine="480"/>
            </w:pPr>
            <w:bookmarkStart w:id="15" w:name="contentIi"/>
            <w:r>
              <w:rPr>
                <w:rFonts w:ascii="仿宋_GB2312" w:eastAsia="仿宋_GB2312" w:hint="eastAsia"/>
                <w:color w:val="000000"/>
              </w:rPr>
              <w:t>本标准规定了质量管理体系要求。本标准适用于涉及医疗器械生命周期的产业链的各类组织，即医疗器械的设计开发和生产企业、经营企业、物流企业、科研机构、维修服务公司、安装公司，以及向医疗器械组织提供产品的供方或其他外部方（如提供原材料、部件、组件、医疗器械、灭菌服务、校准服务、流通服务、维护服务等组织）。本标准代</w:t>
            </w:r>
            <w:r>
              <w:rPr>
                <w:rFonts w:ascii="仿宋_GB2312" w:eastAsia="仿宋_GB2312" w:hint="eastAsia"/>
                <w:color w:val="000000"/>
              </w:rPr>
              <w:lastRenderedPageBreak/>
              <w:t xml:space="preserve">替YY/T 0287-2003《医疗器械 质量管理体系 用于法规的要求》。 主要技术内容：1-范围；2-规范性引用文件；3-术语和定义；4-质量管理体系；5-管理职责；6-资源管理；7-产品实现；8-测量、分析和改进 </w:t>
            </w:r>
            <w:bookmarkEnd w:id="15"/>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lastRenderedPageBreak/>
              <w:t>主要强制的内容和强制的理由</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16" w:name="contentIii"/>
            <w:r>
              <w:rPr>
                <w:rFonts w:ascii="仿宋_GB2312" w:eastAsia="仿宋_GB2312" w:hint="eastAsia"/>
                <w:color w:val="000000"/>
              </w:rPr>
              <w:t>本标准不涉及强制性内容。</w:t>
            </w:r>
            <w:bookmarkEnd w:id="16"/>
            <w:r>
              <w:rPr>
                <w:rFonts w:hint="eastAsia"/>
                <w:color w:val="000000"/>
              </w:rPr>
              <w:t xml:space="preserve">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与有关法律、法规和强制性标准的关系</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17" w:name="contentIv"/>
            <w:r>
              <w:rPr>
                <w:rFonts w:ascii="仿宋_GB2312" w:eastAsia="仿宋_GB2312" w:hint="eastAsia"/>
                <w:color w:val="000000"/>
              </w:rPr>
              <w:t>本标准与有关法律、法规和强制性标准无冲突</w:t>
            </w:r>
            <w:bookmarkEnd w:id="17"/>
            <w:r>
              <w:rPr>
                <w:rFonts w:ascii="仿宋_GB2312" w:eastAsia="仿宋_GB2312" w:hint="eastAsia"/>
                <w:color w:val="000000"/>
              </w:rPr>
              <w:t>.</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标准所涉及的产品清单</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18" w:name="contentV"/>
            <w:r>
              <w:rPr>
                <w:rFonts w:ascii="仿宋_GB2312" w:eastAsia="仿宋_GB2312" w:hint="eastAsia"/>
                <w:color w:val="000000"/>
              </w:rPr>
              <w:t>本标准为管理类标准，不涉及具体产品</w:t>
            </w:r>
            <w:bookmarkEnd w:id="18"/>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国内外有关情况及发展趋势</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rsidP="005F2458">
            <w:pPr>
              <w:autoSpaceDE w:val="0"/>
              <w:autoSpaceDN w:val="0"/>
              <w:spacing w:before="100" w:beforeAutospacing="1" w:after="100" w:afterAutospacing="1"/>
              <w:ind w:firstLineChars="200" w:firstLine="480"/>
            </w:pPr>
            <w:bookmarkStart w:id="19" w:name="contentX"/>
            <w:r>
              <w:rPr>
                <w:rFonts w:ascii="仿宋_GB2312" w:eastAsia="仿宋_GB2312" w:hint="eastAsia"/>
                <w:color w:val="000000"/>
              </w:rPr>
              <w:t>ISO 13485标准和各国医疗器械法规紧密联系，是标准的一个主要特点。世界上很多国家医疗器械法规的制修订和实施都不同程度的参照或借鉴了ISO 13485标准的要求，有些国家和地区，如欧盟、加拿大、澳大利亚等直接将ISO 13485标准作为法规要求实施监管，甚至有的成员认为ISO 13485标准已经成为了世界性的医疗器械监管模板，充分反映了ISO 13485标准得到各国监管部门的高度认可。 YY/T 0287/ISO 13485标准在我国</w:t>
            </w:r>
            <w:proofErr w:type="gramStart"/>
            <w:r>
              <w:rPr>
                <w:rFonts w:ascii="仿宋_GB2312" w:eastAsia="仿宋_GB2312" w:hint="eastAsia"/>
                <w:color w:val="000000"/>
              </w:rPr>
              <w:t>已贯彻</w:t>
            </w:r>
            <w:proofErr w:type="gramEnd"/>
            <w:r>
              <w:rPr>
                <w:rFonts w:ascii="仿宋_GB2312" w:eastAsia="仿宋_GB2312" w:hint="eastAsia"/>
                <w:color w:val="000000"/>
              </w:rPr>
              <w:t>实施二十多年，经过二十多年的实践，YY/T 0287/ISO 13485标准已经成为我国医疗器械标准体系的一个核心标准，是医疗器械过程标准的基础标准，也是所有医疗器械产品标准的质量保证标准，凸显了YY/T 0287/ISO 13485标准的重要性和必要性。国际标准化组织（ISO）于2016年3月1日发布了ISO 13485:2016标准，2017年1月19日原国家食品药品监督管理总局发布了YY/T 0287</w:t>
            </w:r>
            <w:r>
              <w:rPr>
                <w:rFonts w:hint="eastAsia"/>
                <w:color w:val="000000"/>
              </w:rPr>
              <w:t>—</w:t>
            </w:r>
            <w:r>
              <w:rPr>
                <w:rFonts w:ascii="仿宋_GB2312" w:eastAsia="仿宋_GB2312" w:hint="eastAsia"/>
                <w:color w:val="000000"/>
              </w:rPr>
              <w:t xml:space="preserve">2017 </w:t>
            </w:r>
            <w:proofErr w:type="spellStart"/>
            <w:r>
              <w:rPr>
                <w:rFonts w:ascii="仿宋_GB2312" w:eastAsia="仿宋_GB2312" w:hint="eastAsia"/>
                <w:color w:val="000000"/>
              </w:rPr>
              <w:t>idt</w:t>
            </w:r>
            <w:proofErr w:type="spellEnd"/>
            <w:r>
              <w:rPr>
                <w:rFonts w:ascii="仿宋_GB2312" w:eastAsia="仿宋_GB2312" w:hint="eastAsia"/>
                <w:color w:val="000000"/>
              </w:rPr>
              <w:t xml:space="preserve"> ISO 13485:2016《医疗器械 质量管理体系 用于法规的要求》，并于2017年5月1日起实施。该标准进一步体现加强医疗器械全生命周期的质量管理，全面贯彻落实医疗器械法规，强调风险管理，提高医疗器械质量管理体系的适宜性、充分性和有效性的思想。为建设规范化的医疗器械产业链指明了方向和途径，对于我国医疗器械产业持续的健康发展有着重大和深远的意义。</w:t>
            </w:r>
            <w:bookmarkEnd w:id="19"/>
          </w:p>
        </w:tc>
      </w:tr>
      <w:tr w:rsidR="00AD3790" w:rsidTr="005F2458">
        <w:trPr>
          <w:gridAfter w:val="1"/>
          <w:wAfter w:w="410" w:type="dxa"/>
          <w:trHeight w:val="1363"/>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制定标准拟采用的方法和技术依据</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tcPr>
          <w:p w:rsidR="00AD3790" w:rsidRDefault="00AD3790">
            <w:pPr>
              <w:autoSpaceDE w:val="0"/>
              <w:autoSpaceDN w:val="0"/>
              <w:spacing w:before="100" w:beforeAutospacing="1" w:after="100" w:afterAutospacing="1"/>
              <w:rPr>
                <w:rFonts w:ascii="仿宋_GB2312" w:eastAsia="仿宋_GB2312"/>
                <w:color w:val="000000"/>
              </w:rPr>
            </w:pPr>
            <w:bookmarkStart w:id="20" w:name="contentVi"/>
            <w:bookmarkEnd w:id="20"/>
          </w:p>
          <w:p w:rsidR="00AD3790" w:rsidRDefault="009446F4">
            <w:pPr>
              <w:autoSpaceDE w:val="0"/>
              <w:autoSpaceDN w:val="0"/>
              <w:spacing w:before="100" w:beforeAutospacing="1" w:after="100" w:afterAutospacing="1"/>
            </w:pPr>
            <w:r>
              <w:rPr>
                <w:rFonts w:ascii="仿宋_GB2312" w:eastAsia="仿宋_GB2312" w:hint="eastAsia"/>
                <w:color w:val="000000"/>
              </w:rPr>
              <w:t>本标准为推荐性国家标准，采用等同转化的方法。</w:t>
            </w:r>
          </w:p>
          <w:p w:rsidR="00AD3790" w:rsidRDefault="00AD3790">
            <w:pPr>
              <w:autoSpaceDE w:val="0"/>
              <w:autoSpaceDN w:val="0"/>
              <w:spacing w:before="100" w:beforeAutospacing="1" w:after="100" w:afterAutospacing="1"/>
            </w:pPr>
          </w:p>
        </w:tc>
      </w:tr>
      <w:tr w:rsidR="00AD3790" w:rsidTr="005F2458">
        <w:trPr>
          <w:gridAfter w:val="1"/>
          <w:wAfter w:w="410" w:type="dxa"/>
          <w:trHeight w:val="1260"/>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lastRenderedPageBreak/>
              <w:t>拟开展的主要工作</w:t>
            </w:r>
            <w:r>
              <w:rPr>
                <w:rFonts w:ascii="仿宋_GB2312" w:eastAsia="仿宋_GB2312" w:hint="eastAsia"/>
              </w:rPr>
              <w:t>（注2）</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21" w:name="contentVii"/>
            <w:r>
              <w:rPr>
                <w:rFonts w:ascii="仿宋_GB2312" w:eastAsia="仿宋_GB2312" w:hint="eastAsia"/>
                <w:color w:val="000000"/>
              </w:rPr>
              <w:t>将YY/T 0287</w:t>
            </w:r>
            <w:r>
              <w:rPr>
                <w:rFonts w:hint="eastAsia"/>
                <w:color w:val="000000"/>
              </w:rPr>
              <w:t>—</w:t>
            </w:r>
            <w:r>
              <w:rPr>
                <w:rFonts w:ascii="仿宋_GB2312" w:eastAsia="仿宋_GB2312" w:hint="eastAsia"/>
                <w:color w:val="000000"/>
              </w:rPr>
              <w:t xml:space="preserve">2017 </w:t>
            </w:r>
            <w:proofErr w:type="spellStart"/>
            <w:r>
              <w:rPr>
                <w:rFonts w:ascii="仿宋_GB2312" w:eastAsia="仿宋_GB2312" w:hint="eastAsia"/>
                <w:color w:val="000000"/>
              </w:rPr>
              <w:t>idt</w:t>
            </w:r>
            <w:proofErr w:type="spellEnd"/>
            <w:r>
              <w:rPr>
                <w:rFonts w:ascii="仿宋_GB2312" w:eastAsia="仿宋_GB2312" w:hint="eastAsia"/>
                <w:color w:val="000000"/>
              </w:rPr>
              <w:t xml:space="preserve"> ISO 13485:2016《医疗器械 质量管理体系 用于法规的要求》行业标准升级为推荐性国家标准，持续关注ISO/TC 210的动态。</w:t>
            </w:r>
            <w:bookmarkEnd w:id="21"/>
          </w:p>
        </w:tc>
      </w:tr>
      <w:tr w:rsidR="00AD3790" w:rsidTr="005F2458">
        <w:trPr>
          <w:gridAfter w:val="1"/>
          <w:wAfter w:w="410" w:type="dxa"/>
          <w:trHeight w:val="64"/>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与标准制修订相关的工作基础条件</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22" w:name="contentViii"/>
            <w:r>
              <w:rPr>
                <w:rFonts w:ascii="仿宋_GB2312" w:eastAsia="仿宋_GB2312" w:hint="eastAsia"/>
                <w:color w:val="000000"/>
              </w:rPr>
              <w:t>标准草案；YY/T 0287</w:t>
            </w:r>
            <w:r>
              <w:rPr>
                <w:rFonts w:hint="eastAsia"/>
                <w:color w:val="000000"/>
              </w:rPr>
              <w:t>—</w:t>
            </w:r>
            <w:r>
              <w:rPr>
                <w:rFonts w:ascii="仿宋_GB2312" w:eastAsia="仿宋_GB2312" w:hint="eastAsia"/>
                <w:color w:val="000000"/>
              </w:rPr>
              <w:t>2017年实施2年来的反馈和经验。</w:t>
            </w:r>
            <w:bookmarkEnd w:id="22"/>
            <w:r>
              <w:rPr>
                <w:rFonts w:ascii="仿宋_GB2312" w:eastAsia="仿宋_GB2312" w:hint="eastAsia"/>
                <w:color w:val="000000"/>
              </w:rPr>
              <w:t xml:space="preserve"> </w:t>
            </w:r>
          </w:p>
          <w:p w:rsidR="00AD3790" w:rsidRDefault="009446F4">
            <w:pPr>
              <w:autoSpaceDE w:val="0"/>
              <w:autoSpaceDN w:val="0"/>
              <w:spacing w:before="100" w:beforeAutospacing="1" w:after="100" w:afterAutospacing="1"/>
            </w:pPr>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合作单位与任务分工</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23" w:name="contentIx"/>
            <w:r>
              <w:rPr>
                <w:rFonts w:ascii="仿宋_GB2312" w:eastAsia="仿宋_GB2312" w:hint="eastAsia"/>
                <w:color w:val="000000"/>
              </w:rPr>
              <w:t>/</w:t>
            </w:r>
            <w:bookmarkEnd w:id="23"/>
          </w:p>
          <w:p w:rsidR="00AD3790" w:rsidRDefault="009446F4">
            <w:pPr>
              <w:autoSpaceDE w:val="0"/>
              <w:autoSpaceDN w:val="0"/>
              <w:spacing w:before="100" w:beforeAutospacing="1" w:after="100" w:afterAutospacing="1"/>
            </w:pPr>
            <w:r>
              <w:rPr>
                <w:rFonts w:ascii="仿宋_GB2312" w:eastAsia="仿宋_GB2312" w:hint="eastAsia"/>
                <w:color w:val="000000"/>
              </w:rPr>
              <w:t> </w:t>
            </w:r>
          </w:p>
        </w:tc>
      </w:tr>
      <w:tr w:rsidR="00AD3790" w:rsidTr="005F2458">
        <w:trPr>
          <w:gridAfter w:val="1"/>
          <w:wAfter w:w="410" w:type="dxa"/>
          <w:cantSplit/>
          <w:trHeight w:val="1114"/>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jc w:val="center"/>
            </w:pPr>
            <w:r>
              <w:rPr>
                <w:rFonts w:ascii="仿宋_GB2312" w:eastAsia="仿宋_GB2312" w:hint="eastAsia"/>
                <w:color w:val="000000"/>
              </w:rPr>
              <w:t>项目预算</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hint="eastAsia"/>
              </w:rPr>
              <w:t>见标准项目预算表</w:t>
            </w:r>
          </w:p>
        </w:tc>
      </w:tr>
      <w:tr w:rsidR="00AD3790" w:rsidTr="005F2458">
        <w:trPr>
          <w:gridAfter w:val="1"/>
          <w:wAfter w:w="410" w:type="dxa"/>
          <w:cantSplit/>
          <w:trHeight w:val="427"/>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工作进度（注明时间）</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bookmarkStart w:id="24" w:name="contentXi"/>
            <w:r>
              <w:rPr>
                <w:rFonts w:hint="eastAsia"/>
              </w:rPr>
              <w:t>2019年1月-2020年10月</w:t>
            </w:r>
            <w:bookmarkEnd w:id="24"/>
            <w:r>
              <w:rPr>
                <w:rFonts w:ascii="仿宋_GB2312" w:eastAsia="仿宋_GB2312" w:hint="eastAsia"/>
                <w:color w:val="3333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起草</w:t>
            </w:r>
          </w:p>
          <w:p w:rsidR="00AD3790" w:rsidRDefault="009446F4">
            <w:pPr>
              <w:autoSpaceDE w:val="0"/>
              <w:autoSpaceDN w:val="0"/>
              <w:spacing w:before="100" w:beforeAutospacing="1" w:after="100" w:afterAutospacing="1"/>
            </w:pPr>
            <w:r>
              <w:rPr>
                <w:rFonts w:ascii="仿宋_GB2312" w:eastAsia="仿宋_GB2312" w:hint="eastAsia"/>
                <w:color w:val="000000"/>
              </w:rPr>
              <w:t>审查</w:t>
            </w:r>
          </w:p>
        </w:tc>
        <w:tc>
          <w:tcPr>
            <w:tcW w:w="294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2019年1月-2019年10月</w:t>
            </w:r>
            <w:r>
              <w:rPr>
                <w:rFonts w:hint="eastAsia"/>
                <w:color w:val="000000"/>
              </w:rPr>
              <w:t xml:space="preserve"> </w:t>
            </w:r>
          </w:p>
          <w:p w:rsidR="00AD3790" w:rsidRDefault="009446F4">
            <w:pPr>
              <w:autoSpaceDE w:val="0"/>
              <w:autoSpaceDN w:val="0"/>
              <w:spacing w:before="100" w:beforeAutospacing="1" w:after="100" w:afterAutospacing="1"/>
            </w:pPr>
            <w:r>
              <w:rPr>
                <w:rFonts w:ascii="仿宋_GB2312" w:eastAsia="仿宋_GB2312" w:hint="eastAsia"/>
                <w:color w:val="000000"/>
              </w:rPr>
              <w:t xml:space="preserve"> 2020年8月</w:t>
            </w:r>
          </w:p>
        </w:tc>
        <w:tc>
          <w:tcPr>
            <w:tcW w:w="12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ind w:left="12"/>
            </w:pPr>
            <w:r>
              <w:rPr>
                <w:rFonts w:ascii="仿宋_GB2312" w:eastAsia="仿宋_GB2312" w:hint="eastAsia"/>
                <w:color w:val="000000"/>
              </w:rPr>
              <w:t>征求意见</w:t>
            </w:r>
          </w:p>
          <w:p w:rsidR="00AD3790" w:rsidRDefault="009446F4">
            <w:pPr>
              <w:autoSpaceDE w:val="0"/>
              <w:autoSpaceDN w:val="0"/>
              <w:spacing w:before="100" w:beforeAutospacing="1" w:after="100" w:afterAutospacing="1"/>
              <w:ind w:left="12"/>
            </w:pPr>
            <w:r>
              <w:rPr>
                <w:rFonts w:ascii="仿宋_GB2312" w:eastAsia="仿宋_GB2312" w:hint="eastAsia"/>
                <w:color w:val="000000"/>
              </w:rPr>
              <w:t>报</w:t>
            </w:r>
            <w:r>
              <w:rPr>
                <w:rFonts w:ascii="仿宋_GB2312" w:eastAsia="仿宋_GB2312" w:hint="eastAsia"/>
                <w:color w:val="000000"/>
              </w:rPr>
              <w:t> </w:t>
            </w:r>
            <w:r>
              <w:rPr>
                <w:rFonts w:ascii="仿宋_GB2312" w:eastAsia="仿宋_GB2312" w:hint="eastAsia"/>
                <w:color w:val="000000"/>
              </w:rPr>
              <w:t>批</w:t>
            </w:r>
          </w:p>
        </w:tc>
        <w:tc>
          <w:tcPr>
            <w:tcW w:w="3330"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AD3790" w:rsidRDefault="00AD3790">
            <w:pPr>
              <w:autoSpaceDE w:val="0"/>
              <w:autoSpaceDN w:val="0"/>
              <w:spacing w:before="100" w:beforeAutospacing="1" w:after="100" w:afterAutospacing="1"/>
              <w:rPr>
                <w:rFonts w:ascii="仿宋_GB2312" w:eastAsia="仿宋_GB2312"/>
                <w:color w:val="000000"/>
              </w:rPr>
            </w:pPr>
          </w:p>
          <w:p w:rsidR="00AD3790" w:rsidRDefault="009446F4">
            <w:pPr>
              <w:autoSpaceDE w:val="0"/>
              <w:autoSpaceDN w:val="0"/>
              <w:spacing w:before="100" w:beforeAutospacing="1" w:after="100" w:afterAutospacing="1"/>
              <w:rPr>
                <w:rFonts w:eastAsia="仿宋_GB2312"/>
              </w:rPr>
            </w:pPr>
            <w:r>
              <w:rPr>
                <w:rFonts w:ascii="仿宋_GB2312" w:eastAsia="仿宋_GB2312" w:hint="eastAsia"/>
                <w:color w:val="000000"/>
              </w:rPr>
              <w:t>2019年11月初-2020年1月初</w:t>
            </w:r>
          </w:p>
          <w:p w:rsidR="00AD3790" w:rsidRDefault="009446F4">
            <w:pPr>
              <w:autoSpaceDE w:val="0"/>
              <w:autoSpaceDN w:val="0"/>
              <w:spacing w:before="100" w:beforeAutospacing="1" w:after="100" w:afterAutospacing="1"/>
            </w:pPr>
            <w:r>
              <w:rPr>
                <w:rFonts w:ascii="仿宋_GB2312" w:eastAsia="仿宋_GB2312" w:hint="eastAsia"/>
                <w:color w:val="000000"/>
              </w:rPr>
              <w:t xml:space="preserve"> 2020年10月</w:t>
            </w:r>
          </w:p>
          <w:p w:rsidR="00AD3790" w:rsidRDefault="009446F4">
            <w:pPr>
              <w:autoSpaceDE w:val="0"/>
              <w:autoSpaceDN w:val="0"/>
              <w:spacing w:before="100" w:beforeAutospacing="1" w:after="100" w:afterAutospacing="1"/>
              <w:ind w:left="2364"/>
            </w:pPr>
            <w:r>
              <w:rPr>
                <w:rFonts w:ascii="仿宋_GB2312" w:eastAsia="仿宋_GB2312" w:hint="eastAsia"/>
                <w:color w:val="000000"/>
              </w:rPr>
              <w:t> </w:t>
            </w:r>
          </w:p>
        </w:tc>
      </w:tr>
      <w:tr w:rsidR="00AD3790" w:rsidTr="005F2458">
        <w:trPr>
          <w:gridAfter w:val="1"/>
          <w:wAfter w:w="410" w:type="dxa"/>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3790" w:rsidRDefault="009446F4">
            <w:pPr>
              <w:autoSpaceDE w:val="0"/>
              <w:autoSpaceDN w:val="0"/>
              <w:spacing w:before="100" w:beforeAutospacing="1" w:after="100" w:afterAutospacing="1"/>
            </w:pPr>
            <w:r>
              <w:rPr>
                <w:rFonts w:ascii="仿宋_GB2312" w:eastAsia="仿宋_GB2312" w:hint="eastAsia"/>
                <w:color w:val="000000"/>
              </w:rPr>
              <w:t>备注</w:t>
            </w:r>
          </w:p>
        </w:tc>
        <w:tc>
          <w:tcPr>
            <w:tcW w:w="7562"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D3790" w:rsidRDefault="009446F4" w:rsidP="005F2458">
            <w:pPr>
              <w:spacing w:before="100" w:beforeAutospacing="1" w:after="100" w:afterAutospacing="1"/>
              <w:ind w:firstLineChars="200" w:firstLine="480"/>
            </w:pPr>
            <w:r>
              <w:rPr>
                <w:rFonts w:ascii="仿宋_GB2312" w:eastAsia="仿宋_GB2312" w:hint="eastAsia"/>
                <w:color w:val="000000"/>
              </w:rPr>
              <w:t>YY/T 0287—2017 IDT ISO 13485:2016 《医疗器械  质量管理体系  用于法规的要求》由推荐性行业标准升级为推荐性国家标准，2019年1月15日-</w:t>
            </w:r>
            <w:proofErr w:type="gramStart"/>
            <w:r>
              <w:rPr>
                <w:rFonts w:ascii="仿宋_GB2312" w:eastAsia="仿宋_GB2312" w:hint="eastAsia"/>
                <w:color w:val="000000"/>
              </w:rPr>
              <w:t>22日我技委</w:t>
            </w:r>
            <w:proofErr w:type="gramEnd"/>
            <w:r>
              <w:rPr>
                <w:rFonts w:ascii="仿宋_GB2312" w:eastAsia="仿宋_GB2312" w:hint="eastAsia"/>
                <w:color w:val="000000"/>
              </w:rPr>
              <w:t>会进行函审。将邮件发给SAC/TC 221 65名委员，回函52份，52票同意，0票反对，符合规范要求。函审结论为通过</w:t>
            </w:r>
            <w:r w:rsidR="005D5F97">
              <w:rPr>
                <w:rFonts w:ascii="仿宋_GB2312" w:eastAsia="仿宋_GB2312" w:hint="eastAsia"/>
                <w:color w:val="000000"/>
              </w:rPr>
              <w:t>GB/T XXXX-</w:t>
            </w:r>
            <w:r>
              <w:rPr>
                <w:rFonts w:ascii="仿宋_GB2312" w:eastAsia="仿宋_GB2312" w:hint="eastAsia"/>
                <w:color w:val="000000"/>
              </w:rPr>
              <w:t>20XX《医疗器械  质量管理体系  用于法规要求》立项推荐性国家标准。</w:t>
            </w:r>
          </w:p>
        </w:tc>
      </w:tr>
      <w:tr w:rsidR="00AD3790" w:rsidTr="005F2458">
        <w:tc>
          <w:tcPr>
            <w:tcW w:w="1136" w:type="dxa"/>
            <w:tcBorders>
              <w:top w:val="nil"/>
              <w:left w:val="nil"/>
              <w:bottom w:val="nil"/>
              <w:right w:val="nil"/>
            </w:tcBorders>
            <w:vAlign w:val="center"/>
          </w:tcPr>
          <w:p w:rsidR="00AD3790" w:rsidRDefault="00AD3790"/>
        </w:tc>
        <w:tc>
          <w:tcPr>
            <w:tcW w:w="2018" w:type="dxa"/>
            <w:tcBorders>
              <w:top w:val="nil"/>
              <w:left w:val="nil"/>
              <w:bottom w:val="nil"/>
              <w:right w:val="nil"/>
            </w:tcBorders>
            <w:vAlign w:val="center"/>
          </w:tcPr>
          <w:p w:rsidR="00AD3790" w:rsidRDefault="00AD3790"/>
        </w:tc>
        <w:tc>
          <w:tcPr>
            <w:tcW w:w="376" w:type="dxa"/>
            <w:tcBorders>
              <w:top w:val="nil"/>
              <w:left w:val="nil"/>
              <w:bottom w:val="nil"/>
              <w:right w:val="nil"/>
            </w:tcBorders>
            <w:vAlign w:val="center"/>
          </w:tcPr>
          <w:p w:rsidR="00AD3790" w:rsidRDefault="00AD3790"/>
        </w:tc>
        <w:tc>
          <w:tcPr>
            <w:tcW w:w="547" w:type="dxa"/>
            <w:tcBorders>
              <w:top w:val="nil"/>
              <w:left w:val="nil"/>
              <w:bottom w:val="nil"/>
              <w:right w:val="nil"/>
            </w:tcBorders>
            <w:vAlign w:val="center"/>
          </w:tcPr>
          <w:p w:rsidR="00AD3790" w:rsidRDefault="00AD3790"/>
        </w:tc>
        <w:tc>
          <w:tcPr>
            <w:tcW w:w="90" w:type="dxa"/>
            <w:tcBorders>
              <w:top w:val="nil"/>
              <w:left w:val="nil"/>
              <w:bottom w:val="nil"/>
              <w:right w:val="nil"/>
            </w:tcBorders>
            <w:vAlign w:val="center"/>
          </w:tcPr>
          <w:p w:rsidR="00AD3790" w:rsidRDefault="00AD3790"/>
        </w:tc>
        <w:tc>
          <w:tcPr>
            <w:tcW w:w="1519" w:type="dxa"/>
            <w:gridSpan w:val="2"/>
            <w:tcBorders>
              <w:top w:val="nil"/>
              <w:left w:val="nil"/>
              <w:bottom w:val="nil"/>
              <w:right w:val="nil"/>
            </w:tcBorders>
            <w:vAlign w:val="center"/>
          </w:tcPr>
          <w:p w:rsidR="00AD3790" w:rsidRDefault="00AD3790"/>
        </w:tc>
        <w:tc>
          <w:tcPr>
            <w:tcW w:w="462" w:type="dxa"/>
            <w:gridSpan w:val="3"/>
            <w:tcBorders>
              <w:top w:val="nil"/>
              <w:left w:val="nil"/>
              <w:bottom w:val="nil"/>
              <w:right w:val="nil"/>
            </w:tcBorders>
            <w:vAlign w:val="center"/>
          </w:tcPr>
          <w:p w:rsidR="00AD3790" w:rsidRDefault="00AD3790"/>
        </w:tc>
        <w:tc>
          <w:tcPr>
            <w:tcW w:w="89" w:type="dxa"/>
            <w:tcBorders>
              <w:top w:val="nil"/>
              <w:left w:val="nil"/>
              <w:bottom w:val="nil"/>
              <w:right w:val="nil"/>
            </w:tcBorders>
            <w:vAlign w:val="center"/>
          </w:tcPr>
          <w:p w:rsidR="00AD3790" w:rsidRDefault="00AD3790"/>
        </w:tc>
        <w:tc>
          <w:tcPr>
            <w:tcW w:w="83" w:type="dxa"/>
            <w:tcBorders>
              <w:top w:val="nil"/>
              <w:left w:val="nil"/>
              <w:bottom w:val="nil"/>
              <w:right w:val="nil"/>
            </w:tcBorders>
            <w:vAlign w:val="center"/>
          </w:tcPr>
          <w:p w:rsidR="00AD3790" w:rsidRDefault="00AD3790"/>
        </w:tc>
        <w:tc>
          <w:tcPr>
            <w:tcW w:w="649" w:type="dxa"/>
            <w:tcBorders>
              <w:top w:val="nil"/>
              <w:left w:val="nil"/>
              <w:bottom w:val="nil"/>
              <w:right w:val="nil"/>
            </w:tcBorders>
            <w:vAlign w:val="center"/>
          </w:tcPr>
          <w:p w:rsidR="00AD3790" w:rsidRDefault="00AD3790"/>
        </w:tc>
        <w:tc>
          <w:tcPr>
            <w:tcW w:w="2139" w:type="dxa"/>
            <w:gridSpan w:val="2"/>
            <w:tcBorders>
              <w:top w:val="nil"/>
              <w:left w:val="nil"/>
              <w:bottom w:val="nil"/>
              <w:right w:val="nil"/>
            </w:tcBorders>
            <w:vAlign w:val="center"/>
          </w:tcPr>
          <w:p w:rsidR="00AD3790" w:rsidRDefault="00AD3790"/>
        </w:tc>
      </w:tr>
    </w:tbl>
    <w:p w:rsidR="00AD3790" w:rsidRDefault="009446F4">
      <w:pPr>
        <w:spacing w:before="100" w:beforeAutospacing="1" w:after="100" w:afterAutospacing="1" w:line="380" w:lineRule="atLeast"/>
      </w:pPr>
      <w:r>
        <w:rPr>
          <w:rFonts w:ascii="仿宋_GB2312" w:eastAsia="仿宋_GB2312" w:hint="eastAsia"/>
        </w:rPr>
        <w:t>注 1：“标准类别</w:t>
      </w:r>
      <w:r>
        <w:rPr>
          <w:rFonts w:hint="eastAsia"/>
        </w:rPr>
        <w:t>”</w:t>
      </w:r>
      <w:r>
        <w:rPr>
          <w:rFonts w:ascii="仿宋_GB2312" w:eastAsia="仿宋_GB2312" w:hint="eastAsia"/>
        </w:rPr>
        <w:t>分为产品、基础、方法、管理、安全、其他。</w:t>
      </w:r>
    </w:p>
    <w:p w:rsidR="00AD3790" w:rsidRDefault="009446F4">
      <w:pPr>
        <w:spacing w:before="100" w:beforeAutospacing="1" w:after="100" w:afterAutospacing="1" w:line="380" w:lineRule="atLeast"/>
      </w:pPr>
      <w:r>
        <w:rPr>
          <w:rFonts w:ascii="仿宋_GB2312" w:eastAsia="仿宋_GB2312" w:hint="eastAsia"/>
        </w:rPr>
        <w:t>注2：“拟开展的主要工作</w:t>
      </w:r>
      <w:r>
        <w:rPr>
          <w:rFonts w:hint="eastAsia"/>
        </w:rPr>
        <w:t>”</w:t>
      </w:r>
      <w:r>
        <w:rPr>
          <w:rFonts w:ascii="仿宋_GB2312" w:eastAsia="仿宋_GB2312" w:hint="eastAsia"/>
        </w:rPr>
        <w:t>应包括调查、收集文献资料、试验、测试、方法标准验证、样品标准研制与定值、标准及编制说明的编写等项工作。</w:t>
      </w:r>
    </w:p>
    <w:p w:rsidR="009446F4" w:rsidRDefault="009446F4">
      <w:pPr>
        <w:spacing w:before="100" w:beforeAutospacing="1" w:after="100" w:afterAutospacing="1" w:line="380" w:lineRule="atLeast"/>
      </w:pPr>
      <w:r>
        <w:rPr>
          <w:rFonts w:ascii="仿宋_GB2312" w:eastAsia="仿宋_GB2312" w:hint="eastAsia"/>
        </w:rPr>
        <w:t xml:space="preserve">注 3：无标准草案或技术大纲的计划项目原则上不予批准。 </w:t>
      </w:r>
    </w:p>
    <w:sectPr w:rsidR="009446F4">
      <w:pgSz w:w="11906"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52" w:rsidRDefault="00214E52" w:rsidP="0011770B">
      <w:r>
        <w:separator/>
      </w:r>
    </w:p>
  </w:endnote>
  <w:endnote w:type="continuationSeparator" w:id="0">
    <w:p w:rsidR="00214E52" w:rsidRDefault="00214E52" w:rsidP="0011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52" w:rsidRDefault="00214E52" w:rsidP="0011770B">
      <w:r>
        <w:separator/>
      </w:r>
    </w:p>
  </w:footnote>
  <w:footnote w:type="continuationSeparator" w:id="0">
    <w:p w:rsidR="00214E52" w:rsidRDefault="00214E52" w:rsidP="0011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1770B"/>
    <w:rsid w:val="0011770B"/>
    <w:rsid w:val="0019316B"/>
    <w:rsid w:val="00214E52"/>
    <w:rsid w:val="002669F7"/>
    <w:rsid w:val="004E683D"/>
    <w:rsid w:val="00582C50"/>
    <w:rsid w:val="005D5F97"/>
    <w:rsid w:val="005F2458"/>
    <w:rsid w:val="008152A8"/>
    <w:rsid w:val="009446F4"/>
    <w:rsid w:val="009E0936"/>
    <w:rsid w:val="00AD3790"/>
    <w:rsid w:val="00BA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117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770B"/>
    <w:rPr>
      <w:rFonts w:ascii="宋体" w:eastAsia="宋体" w:hAnsi="宋体" w:cs="宋体"/>
      <w:sz w:val="18"/>
      <w:szCs w:val="18"/>
    </w:rPr>
  </w:style>
  <w:style w:type="paragraph" w:styleId="a5">
    <w:name w:val="footer"/>
    <w:basedOn w:val="a"/>
    <w:link w:val="Char0"/>
    <w:rsid w:val="0011770B"/>
    <w:pPr>
      <w:tabs>
        <w:tab w:val="center" w:pos="4153"/>
        <w:tab w:val="right" w:pos="8306"/>
      </w:tabs>
      <w:snapToGrid w:val="0"/>
    </w:pPr>
    <w:rPr>
      <w:sz w:val="18"/>
      <w:szCs w:val="18"/>
    </w:rPr>
  </w:style>
  <w:style w:type="character" w:customStyle="1" w:styleId="Char0">
    <w:name w:val="页脚 Char"/>
    <w:basedOn w:val="a0"/>
    <w:link w:val="a5"/>
    <w:rsid w:val="0011770B"/>
    <w:rPr>
      <w:rFonts w:ascii="宋体" w:eastAsia="宋体" w:hAnsi="宋体" w:cs="宋体"/>
      <w:sz w:val="18"/>
      <w:szCs w:val="18"/>
    </w:rPr>
  </w:style>
  <w:style w:type="paragraph" w:styleId="a6">
    <w:name w:val="Balloon Text"/>
    <w:basedOn w:val="a"/>
    <w:link w:val="Char1"/>
    <w:rsid w:val="002669F7"/>
    <w:rPr>
      <w:sz w:val="18"/>
      <w:szCs w:val="18"/>
    </w:rPr>
  </w:style>
  <w:style w:type="character" w:customStyle="1" w:styleId="Char1">
    <w:name w:val="批注框文本 Char"/>
    <w:basedOn w:val="a0"/>
    <w:link w:val="a6"/>
    <w:rsid w:val="002669F7"/>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117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1770B"/>
    <w:rPr>
      <w:rFonts w:ascii="宋体" w:eastAsia="宋体" w:hAnsi="宋体" w:cs="宋体"/>
      <w:sz w:val="18"/>
      <w:szCs w:val="18"/>
    </w:rPr>
  </w:style>
  <w:style w:type="paragraph" w:styleId="a5">
    <w:name w:val="footer"/>
    <w:basedOn w:val="a"/>
    <w:link w:val="Char0"/>
    <w:rsid w:val="0011770B"/>
    <w:pPr>
      <w:tabs>
        <w:tab w:val="center" w:pos="4153"/>
        <w:tab w:val="right" w:pos="8306"/>
      </w:tabs>
      <w:snapToGrid w:val="0"/>
    </w:pPr>
    <w:rPr>
      <w:sz w:val="18"/>
      <w:szCs w:val="18"/>
    </w:rPr>
  </w:style>
  <w:style w:type="character" w:customStyle="1" w:styleId="Char0">
    <w:name w:val="页脚 Char"/>
    <w:basedOn w:val="a0"/>
    <w:link w:val="a5"/>
    <w:rsid w:val="0011770B"/>
    <w:rPr>
      <w:rFonts w:ascii="宋体" w:eastAsia="宋体" w:hAnsi="宋体" w:cs="宋体"/>
      <w:sz w:val="18"/>
      <w:szCs w:val="18"/>
    </w:rPr>
  </w:style>
  <w:style w:type="paragraph" w:styleId="a6">
    <w:name w:val="Balloon Text"/>
    <w:basedOn w:val="a"/>
    <w:link w:val="Char1"/>
    <w:rsid w:val="002669F7"/>
    <w:rPr>
      <w:sz w:val="18"/>
      <w:szCs w:val="18"/>
    </w:rPr>
  </w:style>
  <w:style w:type="character" w:customStyle="1" w:styleId="Char1">
    <w:name w:val="批注框文本 Char"/>
    <w:basedOn w:val="a0"/>
    <w:link w:val="a6"/>
    <w:rsid w:val="002669F7"/>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白梦洁</cp:lastModifiedBy>
  <cp:revision>5</cp:revision>
  <cp:lastPrinted>2019-01-29T07:46:00Z</cp:lastPrinted>
  <dcterms:created xsi:type="dcterms:W3CDTF">2019-01-29T06:18:00Z</dcterms:created>
  <dcterms:modified xsi:type="dcterms:W3CDTF">2019-01-30T04:24:00Z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