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jc w:val="center"/>
        <w:rPr>
          <w:rFonts w:hint="eastAsia" w:ascii="Times New Roman" w:hAnsi="Times New Roman" w:eastAsia="方正小标宋简体" w:cs="Times New Roman"/>
          <w:kern w:val="2"/>
          <w:sz w:val="44"/>
          <w:szCs w:val="44"/>
        </w:rPr>
      </w:pPr>
      <w:bookmarkStart w:id="4" w:name="_GoBack"/>
      <w:r>
        <w:rPr>
          <w:rFonts w:hint="eastAsia" w:ascii="Times New Roman" w:hAnsi="Times New Roman" w:eastAsia="方正小标宋简体" w:cs="Times New Roman"/>
          <w:kern w:val="2"/>
          <w:sz w:val="44"/>
          <w:szCs w:val="44"/>
        </w:rPr>
        <w:t>电子血压计（示波法）注册审查指导原则</w:t>
      </w:r>
    </w:p>
    <w:bookmarkEnd w:id="4"/>
    <w:p>
      <w:pPr>
        <w:pStyle w:val="2"/>
        <w:jc w:val="center"/>
        <w:rPr>
          <w:rFonts w:hint="eastAsia" w:ascii="Times New Roman" w:hAnsi="Times New Roman" w:eastAsia="方正小标宋简体" w:cs="Times New Roman"/>
          <w:kern w:val="2"/>
          <w:sz w:val="44"/>
          <w:szCs w:val="44"/>
          <w:lang w:val="en-US" w:eastAsia="zh-CN" w:bidi="ar-SA"/>
        </w:rPr>
      </w:pPr>
      <w:r>
        <w:rPr>
          <w:rFonts w:hint="eastAsia" w:ascii="Times New Roman" w:hAnsi="Times New Roman" w:eastAsia="方正小标宋简体" w:cs="Times New Roman"/>
          <w:kern w:val="2"/>
          <w:sz w:val="44"/>
          <w:szCs w:val="44"/>
          <w:lang w:val="en-US" w:eastAsia="zh-CN" w:bidi="ar-SA"/>
        </w:rPr>
        <w:t>（征求意见稿）</w:t>
      </w:r>
    </w:p>
    <w:p>
      <w:pPr>
        <w:tabs>
          <w:tab w:val="center" w:pos="4153"/>
        </w:tabs>
        <w:spacing w:line="520" w:lineRule="exact"/>
        <w:jc w:val="left"/>
        <w:rPr>
          <w:rFonts w:hint="eastAsia" w:eastAsia="方正小标宋_GBK"/>
          <w:sz w:val="36"/>
          <w:szCs w:val="36"/>
        </w:rPr>
      </w:pPr>
    </w:p>
    <w:p>
      <w:pPr>
        <w:overflowPunct w:val="0"/>
        <w:spacing w:line="520" w:lineRule="exact"/>
        <w:ind w:firstLine="640" w:firstLineChars="200"/>
        <w:rPr>
          <w:rFonts w:hint="eastAsia" w:eastAsia="仿宋_GB2312" w:cs="仿宋_GB2312"/>
          <w:snapToGrid w:val="0"/>
          <w:kern w:val="0"/>
          <w:sz w:val="32"/>
          <w:szCs w:val="32"/>
        </w:rPr>
      </w:pPr>
      <w:r>
        <w:rPr>
          <w:rFonts w:hint="eastAsia" w:eastAsia="仿宋_GB2312" w:cs="仿宋_GB2312"/>
          <w:snapToGrid w:val="0"/>
          <w:kern w:val="0"/>
          <w:sz w:val="32"/>
          <w:szCs w:val="32"/>
        </w:rPr>
        <w:t>本指导原则旨在指导注册申请人对</w:t>
      </w:r>
      <w:r>
        <w:rPr>
          <w:rFonts w:hint="eastAsia" w:ascii="Times New Roman" w:hAnsi="Times New Roman" w:eastAsia="仿宋_GB2312" w:cs="Times New Roman"/>
          <w:sz w:val="32"/>
          <w:szCs w:val="32"/>
        </w:rPr>
        <w:t>电子血压计（示波法）</w:t>
      </w:r>
      <w:r>
        <w:rPr>
          <w:rFonts w:hint="eastAsia" w:eastAsia="仿宋_GB2312" w:cs="仿宋_GB2312"/>
          <w:snapToGrid w:val="0"/>
          <w:kern w:val="0"/>
          <w:sz w:val="32"/>
          <w:szCs w:val="32"/>
        </w:rPr>
        <w:t>注册申报资料的准备及撰写，同时也为技术审评部门审评注册申报资料提供参考。</w:t>
      </w:r>
    </w:p>
    <w:p>
      <w:pPr>
        <w:overflowPunct w:val="0"/>
        <w:autoSpaceDE w:val="0"/>
        <w:autoSpaceDN w:val="0"/>
        <w:spacing w:line="520" w:lineRule="exact"/>
        <w:ind w:firstLine="640" w:firstLineChars="200"/>
        <w:rPr>
          <w:rFonts w:eastAsia="仿宋_GB2312" w:cs="仿宋_GB2312"/>
          <w:snapToGrid w:val="0"/>
          <w:kern w:val="0"/>
          <w:sz w:val="32"/>
          <w:szCs w:val="32"/>
        </w:rPr>
      </w:pPr>
      <w:r>
        <w:rPr>
          <w:rFonts w:hint="eastAsia" w:eastAsia="仿宋_GB2312" w:cs="仿宋_GB2312"/>
          <w:snapToGrid w:val="0"/>
          <w:kern w:val="0"/>
          <w:sz w:val="32"/>
          <w:szCs w:val="32"/>
        </w:rPr>
        <w:t>本指导原则是对</w:t>
      </w:r>
      <w:r>
        <w:rPr>
          <w:rFonts w:hint="eastAsia" w:ascii="Times New Roman" w:hAnsi="Times New Roman" w:eastAsia="仿宋_GB2312" w:cs="Times New Roman"/>
          <w:sz w:val="32"/>
          <w:szCs w:val="32"/>
        </w:rPr>
        <w:t>电子血压计（示波法）</w:t>
      </w:r>
      <w:r>
        <w:rPr>
          <w:rFonts w:hint="eastAsia" w:eastAsia="仿宋_GB2312" w:cs="仿宋_GB2312"/>
          <w:snapToGrid w:val="0"/>
          <w:kern w:val="0"/>
          <w:sz w:val="32"/>
          <w:szCs w:val="32"/>
        </w:rPr>
        <w:t>的一般要求，申请人应依据产品的</w:t>
      </w:r>
      <w:r>
        <w:rPr>
          <w:rFonts w:eastAsia="仿宋_GB2312"/>
          <w:color w:val="000000"/>
          <w:sz w:val="32"/>
          <w:szCs w:val="32"/>
        </w:rPr>
        <w:t>具体</w:t>
      </w:r>
      <w:r>
        <w:rPr>
          <w:rFonts w:hint="eastAsia" w:eastAsia="仿宋_GB2312" w:cs="仿宋_GB2312"/>
          <w:snapToGrid w:val="0"/>
          <w:kern w:val="0"/>
          <w:sz w:val="32"/>
          <w:szCs w:val="32"/>
        </w:rPr>
        <w:t>特性确定其中的内容是否适用。若不适用，需具体阐述其理由及相应的科学依据，并依据具体的产品特性对注册申报资料的内容进行充实和细化。</w:t>
      </w:r>
    </w:p>
    <w:p>
      <w:pPr>
        <w:overflowPunct w:val="0"/>
        <w:autoSpaceDE w:val="0"/>
        <w:autoSpaceDN w:val="0"/>
        <w:spacing w:line="520" w:lineRule="exact"/>
        <w:ind w:firstLine="640" w:firstLineChars="200"/>
        <w:rPr>
          <w:rFonts w:eastAsia="仿宋_GB2312" w:cs="仿宋_GB2312"/>
          <w:snapToGrid w:val="0"/>
          <w:kern w:val="0"/>
          <w:sz w:val="32"/>
          <w:szCs w:val="32"/>
        </w:rPr>
      </w:pPr>
      <w:r>
        <w:rPr>
          <w:rFonts w:hint="eastAsia" w:eastAsia="仿宋_GB2312" w:cs="仿宋_GB2312"/>
          <w:snapToGrid w:val="0"/>
          <w:kern w:val="0"/>
          <w:sz w:val="32"/>
          <w:szCs w:val="32"/>
        </w:rPr>
        <w:t>本指导原则是供注册申请人和技术审评人员使用的指导性文件，但不包括注册审批所涉及的行政事项，亦不作为法规强制执行，应在遵循相关法规的前提下使用本指导原则。如果有能够满足相关法规要求的其他方法，也可以采用，但是需要提供详细的研究资料和验证资料。</w:t>
      </w:r>
    </w:p>
    <w:p>
      <w:pPr>
        <w:overflowPunct w:val="0"/>
        <w:autoSpaceDE w:val="0"/>
        <w:autoSpaceDN w:val="0"/>
        <w:spacing w:line="520" w:lineRule="exact"/>
        <w:ind w:firstLine="640" w:firstLineChars="200"/>
        <w:rPr>
          <w:rFonts w:eastAsia="仿宋_GB2312" w:cs="仿宋_GB2312"/>
          <w:snapToGrid w:val="0"/>
          <w:kern w:val="0"/>
          <w:sz w:val="32"/>
          <w:szCs w:val="32"/>
        </w:rPr>
      </w:pPr>
      <w:r>
        <w:rPr>
          <w:rFonts w:hint="eastAsia" w:eastAsia="仿宋_GB2312" w:cs="仿宋_GB2312"/>
          <w:snapToGrid w:val="0"/>
          <w:kern w:val="0"/>
          <w:sz w:val="32"/>
          <w:szCs w:val="32"/>
        </w:rPr>
        <w:t>本指导原则是在现行法规和标准体系以及当前认知水平下制定的，随着法规和标准的不断完善，以及科学技术的不断发展，相关内容也将适时进行调整。</w:t>
      </w:r>
    </w:p>
    <w:p>
      <w:pPr>
        <w:overflowPunct w:val="0"/>
        <w:autoSpaceDE w:val="0"/>
        <w:autoSpaceDN w:val="0"/>
        <w:spacing w:line="520" w:lineRule="exact"/>
        <w:ind w:firstLine="640" w:firstLineChars="200"/>
        <w:outlineLvl w:val="0"/>
        <w:rPr>
          <w:rFonts w:eastAsia="黑体"/>
          <w:snapToGrid w:val="0"/>
          <w:kern w:val="0"/>
          <w:sz w:val="32"/>
          <w:szCs w:val="32"/>
        </w:rPr>
      </w:pPr>
      <w:r>
        <w:rPr>
          <w:rFonts w:hint="eastAsia" w:eastAsia="黑体"/>
          <w:snapToGrid w:val="0"/>
          <w:kern w:val="0"/>
          <w:sz w:val="32"/>
          <w:szCs w:val="32"/>
        </w:rPr>
        <w:t>一、</w:t>
      </w:r>
      <w:r>
        <w:rPr>
          <w:rFonts w:eastAsia="黑体"/>
          <w:snapToGrid w:val="0"/>
          <w:kern w:val="0"/>
          <w:sz w:val="32"/>
          <w:szCs w:val="32"/>
        </w:rPr>
        <w:t>适用范围</w:t>
      </w:r>
    </w:p>
    <w:p>
      <w:pPr>
        <w:widowControl w:val="0"/>
        <w:spacing w:line="520" w:lineRule="exact"/>
        <w:ind w:firstLine="640" w:firstLineChars="200"/>
        <w:rPr>
          <w:rFonts w:hint="eastAsia" w:eastAsia="仿宋_GB2312"/>
          <w:snapToGrid w:val="0"/>
          <w:kern w:val="0"/>
          <w:sz w:val="32"/>
          <w:szCs w:val="32"/>
        </w:rPr>
      </w:pPr>
      <w:r>
        <w:rPr>
          <w:rFonts w:hint="eastAsia" w:eastAsia="仿宋_GB2312" w:cs="仿宋_GB2312"/>
          <w:snapToGrid w:val="0"/>
          <w:kern w:val="0"/>
          <w:sz w:val="32"/>
          <w:szCs w:val="32"/>
        </w:rPr>
        <w:t>本指导</w:t>
      </w:r>
      <w:r>
        <w:rPr>
          <w:rFonts w:eastAsia="仿宋_GB2312" w:cs="仿宋_GB2312"/>
          <w:snapToGrid w:val="0"/>
          <w:kern w:val="0"/>
          <w:sz w:val="32"/>
          <w:szCs w:val="32"/>
        </w:rPr>
        <w:t>原则</w:t>
      </w:r>
      <w:r>
        <w:rPr>
          <w:rFonts w:hint="eastAsia" w:eastAsia="仿宋_GB2312" w:cs="仿宋_GB2312"/>
          <w:snapToGrid w:val="0"/>
          <w:kern w:val="0"/>
          <w:sz w:val="32"/>
          <w:szCs w:val="32"/>
        </w:rPr>
        <w:t>适用于</w:t>
      </w:r>
      <w:r>
        <w:rPr>
          <w:rFonts w:hint="eastAsia" w:ascii="Times New Roman" w:hAnsi="Times New Roman" w:eastAsia="仿宋_GB2312" w:cs="Times New Roman"/>
          <w:sz w:val="32"/>
          <w:szCs w:val="32"/>
        </w:rPr>
        <w:t>以示波法通过袖带和腕带传感器取得的压力和脉搏信号来自动完成间接测量（无创）动脉血压的装置（以下简称电子血压计）</w:t>
      </w:r>
      <w:r>
        <w:rPr>
          <w:rFonts w:hint="eastAsia" w:eastAsia="仿宋_GB2312" w:cs="仿宋_GB2312"/>
          <w:snapToGrid w:val="0"/>
          <w:kern w:val="0"/>
          <w:sz w:val="32"/>
          <w:szCs w:val="32"/>
        </w:rPr>
        <w:t>的产品注册。按现行《医疗器械分类目录》，该类产品分类编码为</w:t>
      </w:r>
      <w:r>
        <w:rPr>
          <w:rFonts w:hint="eastAsia" w:eastAsia="仿宋_GB2312" w:cs="仿宋_GB2312"/>
          <w:snapToGrid w:val="0"/>
          <w:kern w:val="0"/>
          <w:sz w:val="32"/>
          <w:szCs w:val="32"/>
          <w:lang w:val="en-US" w:eastAsia="zh-CN"/>
        </w:rPr>
        <w:t>07</w:t>
      </w:r>
      <w:r>
        <w:rPr>
          <w:rFonts w:hint="eastAsia" w:eastAsia="仿宋_GB2312" w:cs="仿宋_GB2312"/>
          <w:snapToGrid w:val="0"/>
          <w:kern w:val="0"/>
          <w:sz w:val="32"/>
          <w:szCs w:val="32"/>
        </w:rPr>
        <w:t>-0</w:t>
      </w:r>
      <w:r>
        <w:rPr>
          <w:rFonts w:hint="eastAsia" w:eastAsia="仿宋_GB2312" w:cs="仿宋_GB2312"/>
          <w:snapToGrid w:val="0"/>
          <w:kern w:val="0"/>
          <w:sz w:val="32"/>
          <w:szCs w:val="32"/>
          <w:lang w:val="en-US" w:eastAsia="zh-CN"/>
        </w:rPr>
        <w:t>3</w:t>
      </w:r>
      <w:r>
        <w:rPr>
          <w:rFonts w:hint="eastAsia" w:eastAsia="仿宋_GB2312" w:cs="仿宋_GB2312"/>
          <w:snapToGrid w:val="0"/>
          <w:kern w:val="0"/>
          <w:sz w:val="32"/>
          <w:szCs w:val="32"/>
        </w:rPr>
        <w:t>-0</w:t>
      </w:r>
      <w:r>
        <w:rPr>
          <w:rFonts w:hint="eastAsia" w:eastAsia="仿宋_GB2312" w:cs="仿宋_GB2312"/>
          <w:snapToGrid w:val="0"/>
          <w:kern w:val="0"/>
          <w:sz w:val="32"/>
          <w:szCs w:val="32"/>
          <w:lang w:val="en-US" w:eastAsia="zh-CN"/>
        </w:rPr>
        <w:t>3</w:t>
      </w:r>
      <w:r>
        <w:rPr>
          <w:rFonts w:hint="eastAsia" w:eastAsia="仿宋_GB2312" w:cs="仿宋_GB2312"/>
          <w:snapToGrid w:val="0"/>
          <w:kern w:val="0"/>
          <w:sz w:val="32"/>
          <w:szCs w:val="32"/>
        </w:rPr>
        <w:t>，管理类别为</w:t>
      </w:r>
      <w:r>
        <w:rPr>
          <w:rFonts w:hint="eastAsia" w:eastAsia="仿宋_GB2312" w:cs="仿宋_GB2312"/>
          <w:snapToGrid w:val="0"/>
          <w:kern w:val="0"/>
          <w:sz w:val="32"/>
          <w:szCs w:val="32"/>
          <w:lang w:val="en-US" w:eastAsia="zh-CN"/>
        </w:rPr>
        <w:t>Ⅱ</w:t>
      </w:r>
      <w:r>
        <w:rPr>
          <w:rFonts w:hint="eastAsia" w:eastAsia="仿宋_GB2312" w:cs="仿宋_GB2312"/>
          <w:snapToGrid w:val="0"/>
          <w:kern w:val="0"/>
          <w:sz w:val="32"/>
          <w:szCs w:val="32"/>
        </w:rPr>
        <w:t>类。</w:t>
      </w:r>
      <w:r>
        <w:rPr>
          <w:rFonts w:hint="eastAsia" w:ascii="Times New Roman" w:hAnsi="Times New Roman" w:eastAsia="仿宋_GB2312" w:cs="Times New Roman"/>
          <w:sz w:val="32"/>
          <w:szCs w:val="32"/>
        </w:rPr>
        <w:t>本指导原则范围不包含手指、胸阻抗、电子柯氏音法等方法测量血压的设备和动态血压监测设备，但在审查这些设备时也可参考本原则部分内容。</w:t>
      </w:r>
    </w:p>
    <w:p>
      <w:pPr>
        <w:overflowPunct w:val="0"/>
        <w:autoSpaceDE w:val="0"/>
        <w:autoSpaceDN w:val="0"/>
        <w:spacing w:line="520" w:lineRule="exact"/>
        <w:ind w:firstLine="640" w:firstLineChars="200"/>
        <w:outlineLvl w:val="0"/>
        <w:rPr>
          <w:rFonts w:hint="eastAsia" w:eastAsia="黑体"/>
          <w:snapToGrid w:val="0"/>
          <w:kern w:val="0"/>
          <w:sz w:val="32"/>
          <w:szCs w:val="32"/>
        </w:rPr>
      </w:pPr>
      <w:bookmarkStart w:id="0" w:name="_Toc432753645"/>
      <w:r>
        <w:rPr>
          <w:rFonts w:hint="eastAsia" w:eastAsia="黑体"/>
          <w:snapToGrid w:val="0"/>
          <w:kern w:val="0"/>
          <w:sz w:val="32"/>
          <w:szCs w:val="32"/>
        </w:rPr>
        <w:t>二、注册</w:t>
      </w:r>
      <w:r>
        <w:rPr>
          <w:rFonts w:eastAsia="黑体"/>
          <w:snapToGrid w:val="0"/>
          <w:kern w:val="0"/>
          <w:sz w:val="32"/>
          <w:szCs w:val="32"/>
        </w:rPr>
        <w:t>审查要点</w:t>
      </w:r>
    </w:p>
    <w:p>
      <w:pPr>
        <w:pStyle w:val="49"/>
        <w:overflowPunct w:val="0"/>
        <w:autoSpaceDE w:val="0"/>
        <w:autoSpaceDN w:val="0"/>
        <w:spacing w:line="520" w:lineRule="exact"/>
        <w:ind w:firstLine="640"/>
        <w:outlineLvl w:val="1"/>
        <w:rPr>
          <w:rFonts w:ascii="Times New Roman" w:hAnsi="Times New Roman" w:eastAsia="楷体_GB2312"/>
          <w:color w:val="000000"/>
          <w:sz w:val="32"/>
          <w:szCs w:val="32"/>
        </w:rPr>
      </w:pPr>
      <w:r>
        <w:rPr>
          <w:rFonts w:hint="eastAsia" w:ascii="Times New Roman" w:hAnsi="Times New Roman" w:eastAsia="楷体_GB2312"/>
          <w:color w:val="000000"/>
          <w:sz w:val="32"/>
          <w:szCs w:val="32"/>
        </w:rPr>
        <w:t>（一）监管信息</w:t>
      </w:r>
    </w:p>
    <w:p>
      <w:pPr>
        <w:overflowPunct w:val="0"/>
        <w:autoSpaceDE w:val="0"/>
        <w:autoSpaceDN w:val="0"/>
        <w:spacing w:line="520" w:lineRule="exact"/>
        <w:ind w:firstLine="640" w:firstLineChars="200"/>
        <w:rPr>
          <w:rFonts w:eastAsia="仿宋_GB2312"/>
          <w:snapToGrid w:val="0"/>
          <w:color w:val="000000"/>
          <w:kern w:val="0"/>
          <w:sz w:val="32"/>
          <w:szCs w:val="32"/>
        </w:rPr>
      </w:pPr>
      <w:r>
        <w:rPr>
          <w:rFonts w:hint="eastAsia" w:eastAsia="仿宋_GB2312"/>
          <w:color w:val="000000"/>
          <w:sz w:val="32"/>
          <w:szCs w:val="32"/>
        </w:rPr>
        <w:t>明确申请表中</w:t>
      </w:r>
      <w:r>
        <w:rPr>
          <w:rFonts w:eastAsia="仿宋_GB2312"/>
          <w:snapToGrid w:val="0"/>
          <w:color w:val="000000"/>
          <w:kern w:val="0"/>
          <w:sz w:val="32"/>
          <w:szCs w:val="32"/>
        </w:rPr>
        <w:t>产品名称</w:t>
      </w:r>
      <w:r>
        <w:rPr>
          <w:rFonts w:hint="eastAsia" w:eastAsia="仿宋_GB2312"/>
          <w:snapToGrid w:val="0"/>
          <w:color w:val="000000"/>
          <w:kern w:val="0"/>
          <w:sz w:val="32"/>
          <w:szCs w:val="32"/>
        </w:rPr>
        <w:t>、</w:t>
      </w:r>
      <w:r>
        <w:rPr>
          <w:rFonts w:eastAsia="仿宋_GB2312"/>
          <w:snapToGrid w:val="0"/>
          <w:color w:val="000000"/>
          <w:kern w:val="0"/>
          <w:sz w:val="32"/>
          <w:szCs w:val="32"/>
        </w:rPr>
        <w:t>管理类别、分类编码</w:t>
      </w:r>
      <w:r>
        <w:rPr>
          <w:rFonts w:hint="eastAsia" w:eastAsia="仿宋_GB2312"/>
          <w:snapToGrid w:val="0"/>
          <w:color w:val="000000"/>
          <w:kern w:val="0"/>
          <w:sz w:val="32"/>
          <w:szCs w:val="32"/>
        </w:rPr>
        <w:t>、型号规格、产品组成</w:t>
      </w:r>
      <w:r>
        <w:rPr>
          <w:rFonts w:hint="eastAsia" w:eastAsia="仿宋_GB2312"/>
          <w:snapToGrid w:val="0"/>
          <w:color w:val="000000"/>
          <w:kern w:val="0"/>
          <w:sz w:val="32"/>
          <w:szCs w:val="32"/>
          <w:lang w:eastAsia="zh-CN"/>
        </w:rPr>
        <w:t>、</w:t>
      </w:r>
      <w:r>
        <w:rPr>
          <w:rFonts w:hint="eastAsia" w:eastAsia="仿宋_GB2312"/>
          <w:snapToGrid w:val="0"/>
          <w:color w:val="000000"/>
          <w:kern w:val="0"/>
          <w:sz w:val="32"/>
          <w:szCs w:val="32"/>
          <w:lang w:val="en-US" w:eastAsia="zh-CN"/>
        </w:rPr>
        <w:t>适用范围</w:t>
      </w:r>
      <w:r>
        <w:rPr>
          <w:rFonts w:hint="eastAsia" w:eastAsia="仿宋_GB2312"/>
          <w:snapToGrid w:val="0"/>
          <w:color w:val="000000"/>
          <w:kern w:val="0"/>
          <w:sz w:val="32"/>
          <w:szCs w:val="32"/>
        </w:rPr>
        <w:t>等信息</w:t>
      </w:r>
      <w:r>
        <w:rPr>
          <w:rFonts w:eastAsia="仿宋_GB2312"/>
          <w:snapToGrid w:val="0"/>
          <w:color w:val="000000"/>
          <w:kern w:val="0"/>
          <w:sz w:val="32"/>
          <w:szCs w:val="32"/>
        </w:rPr>
        <w:t>。</w:t>
      </w:r>
    </w:p>
    <w:p>
      <w:pPr>
        <w:overflowPunct w:val="0"/>
        <w:autoSpaceDE w:val="0"/>
        <w:autoSpaceDN w:val="0"/>
        <w:spacing w:line="520" w:lineRule="exact"/>
        <w:ind w:firstLine="640" w:firstLineChars="200"/>
        <w:outlineLvl w:val="2"/>
        <w:rPr>
          <w:rFonts w:eastAsia="仿宋_GB2312"/>
          <w:snapToGrid w:val="0"/>
          <w:kern w:val="0"/>
          <w:sz w:val="32"/>
          <w:szCs w:val="32"/>
        </w:rPr>
      </w:pPr>
      <w:r>
        <w:rPr>
          <w:rFonts w:hint="eastAsia" w:eastAsia="仿宋_GB2312"/>
          <w:snapToGrid w:val="0"/>
          <w:kern w:val="0"/>
          <w:sz w:val="32"/>
          <w:szCs w:val="32"/>
        </w:rPr>
        <w:t>1</w:t>
      </w:r>
      <w:r>
        <w:rPr>
          <w:rFonts w:eastAsia="仿宋_GB2312"/>
          <w:snapToGrid w:val="0"/>
          <w:kern w:val="0"/>
          <w:sz w:val="32"/>
          <w:szCs w:val="32"/>
        </w:rPr>
        <w:t>.</w:t>
      </w:r>
      <w:r>
        <w:rPr>
          <w:rFonts w:hint="eastAsia" w:eastAsia="仿宋_GB2312"/>
          <w:snapToGrid w:val="0"/>
          <w:kern w:val="0"/>
          <w:sz w:val="32"/>
          <w:szCs w:val="32"/>
        </w:rPr>
        <w:t>产品名称</w:t>
      </w:r>
    </w:p>
    <w:p>
      <w:pPr>
        <w:overflowPunct w:val="0"/>
        <w:autoSpaceDE w:val="0"/>
        <w:autoSpaceDN w:val="0"/>
        <w:spacing w:line="520" w:lineRule="exact"/>
        <w:ind w:firstLine="640" w:firstLineChars="200"/>
        <w:rPr>
          <w:rFonts w:hint="eastAsia" w:eastAsia="仿宋_GB2312"/>
          <w:snapToGrid w:val="0"/>
          <w:kern w:val="0"/>
          <w:sz w:val="32"/>
          <w:szCs w:val="32"/>
        </w:rPr>
      </w:pPr>
      <w:r>
        <w:rPr>
          <w:rFonts w:hint="eastAsia" w:eastAsia="仿宋_GB2312"/>
          <w:snapToGrid w:val="0"/>
          <w:kern w:val="0"/>
          <w:sz w:val="32"/>
          <w:szCs w:val="32"/>
        </w:rPr>
        <w:t>产品命名需符合《医疗器械通用名称命名规则》的要求。</w:t>
      </w:r>
      <w:r>
        <w:rPr>
          <w:rFonts w:hint="eastAsia" w:ascii="Times New Roman" w:hAnsi="Times New Roman" w:eastAsia="仿宋_GB2312" w:cs="Times New Roman"/>
          <w:sz w:val="32"/>
          <w:szCs w:val="32"/>
        </w:rPr>
        <w:t>按“加压方式”（可选）</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测量部位（可选）”</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电子血压计”的方式命名。例如：手腕式电子血压计，上臂式电子血压计、全自动上臂式电子血压计、手动上臂式电子血压计等。产品名称应为通用名，不应包括产品型号、系列。</w:t>
      </w:r>
    </w:p>
    <w:p>
      <w:pPr>
        <w:overflowPunct w:val="0"/>
        <w:autoSpaceDE w:val="0"/>
        <w:autoSpaceDN w:val="0"/>
        <w:spacing w:line="520" w:lineRule="exact"/>
        <w:ind w:firstLine="640" w:firstLineChars="200"/>
        <w:outlineLvl w:val="2"/>
        <w:rPr>
          <w:rFonts w:hint="eastAsia" w:eastAsia="仿宋_GB2312"/>
          <w:snapToGrid w:val="0"/>
          <w:kern w:val="0"/>
          <w:sz w:val="32"/>
          <w:szCs w:val="32"/>
        </w:rPr>
      </w:pPr>
      <w:r>
        <w:rPr>
          <w:rFonts w:hint="eastAsia" w:eastAsia="仿宋_GB2312"/>
          <w:snapToGrid w:val="0"/>
          <w:kern w:val="0"/>
          <w:sz w:val="32"/>
          <w:szCs w:val="32"/>
        </w:rPr>
        <w:t>2.分类编码</w:t>
      </w:r>
    </w:p>
    <w:p>
      <w:pPr>
        <w:overflowPunct w:val="0"/>
        <w:autoSpaceDE w:val="0"/>
        <w:autoSpaceDN w:val="0"/>
        <w:spacing w:line="520" w:lineRule="exact"/>
        <w:ind w:firstLine="640" w:firstLineChars="200"/>
        <w:rPr>
          <w:rFonts w:eastAsia="仿宋_GB2312"/>
          <w:snapToGrid w:val="0"/>
          <w:kern w:val="0"/>
          <w:sz w:val="32"/>
          <w:szCs w:val="32"/>
        </w:rPr>
      </w:pPr>
      <w:r>
        <w:rPr>
          <w:rFonts w:hint="eastAsia" w:eastAsia="仿宋_GB2312"/>
          <w:snapToGrid w:val="0"/>
          <w:kern w:val="0"/>
          <w:sz w:val="32"/>
          <w:szCs w:val="32"/>
        </w:rPr>
        <w:t>依据</w:t>
      </w:r>
      <w:r>
        <w:rPr>
          <w:rFonts w:eastAsia="仿宋_GB2312"/>
          <w:snapToGrid w:val="0"/>
          <w:kern w:val="0"/>
          <w:sz w:val="32"/>
          <w:szCs w:val="32"/>
        </w:rPr>
        <w:t>《医疗器械分类目录》，申报产品</w:t>
      </w:r>
      <w:r>
        <w:rPr>
          <w:rFonts w:hint="eastAsia" w:eastAsia="仿宋_GB2312"/>
          <w:snapToGrid w:val="0"/>
          <w:kern w:val="0"/>
          <w:sz w:val="32"/>
          <w:szCs w:val="32"/>
        </w:rPr>
        <w:t>分类</w:t>
      </w:r>
      <w:r>
        <w:rPr>
          <w:rFonts w:eastAsia="仿宋_GB2312"/>
          <w:snapToGrid w:val="0"/>
          <w:kern w:val="0"/>
          <w:sz w:val="32"/>
          <w:szCs w:val="32"/>
        </w:rPr>
        <w:t>编码为</w:t>
      </w:r>
      <w:r>
        <w:rPr>
          <w:rFonts w:hint="eastAsia" w:eastAsia="仿宋_GB2312"/>
          <w:snapToGrid w:val="0"/>
          <w:kern w:val="0"/>
          <w:sz w:val="32"/>
          <w:szCs w:val="32"/>
          <w:lang w:val="en-US" w:eastAsia="zh-CN"/>
        </w:rPr>
        <w:t>07</w:t>
      </w:r>
      <w:r>
        <w:rPr>
          <w:rFonts w:eastAsia="仿宋_GB2312"/>
          <w:snapToGrid w:val="0"/>
          <w:kern w:val="0"/>
          <w:sz w:val="32"/>
          <w:szCs w:val="32"/>
        </w:rPr>
        <w:t>-0</w:t>
      </w:r>
      <w:r>
        <w:rPr>
          <w:rFonts w:hint="eastAsia" w:eastAsia="仿宋_GB2312"/>
          <w:snapToGrid w:val="0"/>
          <w:kern w:val="0"/>
          <w:sz w:val="32"/>
          <w:szCs w:val="32"/>
          <w:lang w:val="en-US" w:eastAsia="zh-CN"/>
        </w:rPr>
        <w:t>3</w:t>
      </w:r>
      <w:r>
        <w:rPr>
          <w:rFonts w:eastAsia="仿宋_GB2312"/>
          <w:snapToGrid w:val="0"/>
          <w:kern w:val="0"/>
          <w:sz w:val="32"/>
          <w:szCs w:val="32"/>
        </w:rPr>
        <w:t>-0</w:t>
      </w:r>
      <w:r>
        <w:rPr>
          <w:rFonts w:hint="eastAsia" w:eastAsia="仿宋_GB2312"/>
          <w:snapToGrid w:val="0"/>
          <w:kern w:val="0"/>
          <w:sz w:val="32"/>
          <w:szCs w:val="32"/>
          <w:lang w:val="en-US" w:eastAsia="zh-CN"/>
        </w:rPr>
        <w:t>3</w:t>
      </w:r>
      <w:r>
        <w:rPr>
          <w:rFonts w:eastAsia="仿宋_GB2312"/>
          <w:snapToGrid w:val="0"/>
          <w:kern w:val="0"/>
          <w:sz w:val="32"/>
          <w:szCs w:val="32"/>
        </w:rPr>
        <w:t>。</w:t>
      </w:r>
    </w:p>
    <w:p>
      <w:pPr>
        <w:numPr>
          <w:ilvl w:val="0"/>
          <w:numId w:val="0"/>
        </w:numPr>
        <w:overflowPunct w:val="0"/>
        <w:autoSpaceDE w:val="0"/>
        <w:autoSpaceDN w:val="0"/>
        <w:spacing w:line="520" w:lineRule="exact"/>
        <w:ind w:firstLine="640" w:firstLineChars="200"/>
        <w:outlineLvl w:val="2"/>
        <w:rPr>
          <w:rFonts w:hint="eastAsia" w:eastAsia="仿宋_GB2312"/>
          <w:snapToGrid w:val="0"/>
          <w:kern w:val="0"/>
          <w:sz w:val="32"/>
          <w:szCs w:val="32"/>
          <w:lang w:val="en-US" w:eastAsia="zh-CN"/>
        </w:rPr>
      </w:pPr>
      <w:r>
        <w:rPr>
          <w:rFonts w:hint="eastAsia" w:eastAsia="仿宋_GB2312"/>
          <w:snapToGrid w:val="0"/>
          <w:kern w:val="0"/>
          <w:sz w:val="32"/>
          <w:szCs w:val="32"/>
          <w:lang w:val="en-US" w:eastAsia="zh-CN"/>
        </w:rPr>
        <w:t>3.注册单元划分的原则和实例</w:t>
      </w:r>
    </w:p>
    <w:p>
      <w:pPr>
        <w:pStyle w:val="9"/>
        <w:spacing w:line="520" w:lineRule="exact"/>
        <w:ind w:left="0" w:leftChars="0" w:firstLine="640" w:firstLineChars="200"/>
        <w:rPr>
          <w:rFonts w:eastAsia="仿宋_GB2312"/>
          <w:sz w:val="32"/>
          <w:szCs w:val="32"/>
        </w:rPr>
      </w:pPr>
      <w:r>
        <w:rPr>
          <w:rFonts w:hint="eastAsia" w:eastAsia="仿宋_GB2312"/>
          <w:sz w:val="32"/>
          <w:szCs w:val="32"/>
        </w:rPr>
        <w:t>电子血压计注册单元划分主要从产品的技术结构和性能指标来考虑。</w:t>
      </w:r>
    </w:p>
    <w:p>
      <w:pPr>
        <w:pStyle w:val="9"/>
        <w:spacing w:line="520" w:lineRule="exact"/>
        <w:ind w:left="0" w:leftChars="0" w:firstLine="640" w:firstLineChars="200"/>
        <w:rPr>
          <w:rFonts w:eastAsia="仿宋_GB2312"/>
          <w:sz w:val="32"/>
          <w:szCs w:val="32"/>
        </w:rPr>
      </w:pPr>
      <w:r>
        <w:rPr>
          <w:rFonts w:hint="eastAsia" w:eastAsia="仿宋_GB2312"/>
          <w:sz w:val="32"/>
          <w:szCs w:val="32"/>
        </w:rPr>
        <w:t>技术结构：产品的技术结构不同，应划分为不同的注册单元。技术结构主要考虑以下因素：</w:t>
      </w:r>
    </w:p>
    <w:p>
      <w:pPr>
        <w:widowControl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测量部位不同的，例如：手腕式、上臂式；</w:t>
      </w:r>
    </w:p>
    <w:p>
      <w:pPr>
        <w:widowControl w:val="0"/>
        <w:spacing w:line="52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——测量方式不同的，例如：升压测量法、降压测量法；</w:t>
      </w:r>
    </w:p>
    <w:p>
      <w:pPr>
        <w:widowControl w:val="0"/>
        <w:spacing w:line="520" w:lineRule="exact"/>
        <w:ind w:firstLine="640" w:firstLineChars="200"/>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结构差异巨大的，例如：手腕式、手表式</w:t>
      </w:r>
      <w:r>
        <w:rPr>
          <w:rFonts w:hint="eastAsia" w:eastAsia="仿宋_GB2312" w:cs="Times New Roman"/>
          <w:sz w:val="32"/>
          <w:szCs w:val="32"/>
          <w:lang w:val="en-US" w:eastAsia="zh-CN"/>
        </w:rPr>
        <w:t>。</w:t>
      </w:r>
    </w:p>
    <w:p>
      <w:pPr>
        <w:pStyle w:val="9"/>
        <w:spacing w:line="520" w:lineRule="exact"/>
        <w:ind w:left="0" w:leftChars="0" w:firstLine="640" w:firstLineChars="200"/>
        <w:rPr>
          <w:rFonts w:hint="default"/>
          <w:lang w:val="en-US" w:eastAsia="zh-CN"/>
        </w:rPr>
      </w:pPr>
      <w:r>
        <w:rPr>
          <w:rFonts w:hint="eastAsia" w:eastAsia="仿宋_GB2312"/>
          <w:sz w:val="32"/>
          <w:szCs w:val="32"/>
        </w:rPr>
        <w:t>性能指标：主要性能指标有较大差异的，应考虑划分为不同的注册单元。</w:t>
      </w:r>
    </w:p>
    <w:p>
      <w:pPr>
        <w:overflowPunct w:val="0"/>
        <w:autoSpaceDE w:val="0"/>
        <w:autoSpaceDN w:val="0"/>
        <w:spacing w:line="520" w:lineRule="exact"/>
        <w:ind w:left="221" w:firstLine="200"/>
        <w:outlineLvl w:val="1"/>
        <w:rPr>
          <w:rFonts w:eastAsia="楷体_GB2312"/>
          <w:color w:val="000000"/>
          <w:sz w:val="32"/>
          <w:szCs w:val="32"/>
        </w:rPr>
      </w:pPr>
      <w:r>
        <w:rPr>
          <w:rFonts w:hint="eastAsia" w:eastAsia="楷体_GB2312"/>
          <w:color w:val="000000"/>
          <w:sz w:val="32"/>
          <w:szCs w:val="32"/>
        </w:rPr>
        <w:t>（二）综述</w:t>
      </w:r>
      <w:r>
        <w:rPr>
          <w:rFonts w:eastAsia="楷体_GB2312"/>
          <w:color w:val="000000"/>
          <w:sz w:val="32"/>
          <w:szCs w:val="32"/>
        </w:rPr>
        <w:t>资料</w:t>
      </w:r>
    </w:p>
    <w:p>
      <w:pPr>
        <w:pStyle w:val="49"/>
        <w:overflowPunct w:val="0"/>
        <w:autoSpaceDE w:val="0"/>
        <w:autoSpaceDN w:val="0"/>
        <w:spacing w:line="520" w:lineRule="exact"/>
        <w:ind w:right="210" w:firstLine="640"/>
        <w:outlineLvl w:val="2"/>
        <w:rPr>
          <w:rFonts w:ascii="Times New Roman" w:hAnsi="Times New Roman" w:eastAsia="楷体_GB2312"/>
          <w:color w:val="000000"/>
          <w:sz w:val="32"/>
          <w:szCs w:val="32"/>
        </w:rPr>
      </w:pPr>
      <w:r>
        <w:rPr>
          <w:rFonts w:hint="eastAsia" w:ascii="Times New Roman" w:hAnsi="Times New Roman" w:eastAsia="楷体_GB2312"/>
          <w:color w:val="000000"/>
          <w:sz w:val="32"/>
          <w:szCs w:val="32"/>
        </w:rPr>
        <w:t>1.</w:t>
      </w:r>
      <w:bookmarkEnd w:id="0"/>
      <w:r>
        <w:rPr>
          <w:rFonts w:hint="eastAsia" w:ascii="Times New Roman" w:hAnsi="Times New Roman" w:eastAsia="仿宋_GB2312"/>
          <w:color w:val="000000"/>
          <w:sz w:val="32"/>
          <w:szCs w:val="32"/>
        </w:rPr>
        <w:t>产品描述</w:t>
      </w:r>
    </w:p>
    <w:p>
      <w:pPr>
        <w:pStyle w:val="49"/>
        <w:overflowPunct w:val="0"/>
        <w:autoSpaceDE w:val="0"/>
        <w:autoSpaceDN w:val="0"/>
        <w:spacing w:line="520" w:lineRule="exact"/>
        <w:ind w:right="210" w:firstLine="640"/>
        <w:outlineLvl w:val="3"/>
        <w:rPr>
          <w:rFonts w:ascii="Times New Roman" w:hAnsi="Times New Roman" w:eastAsia="仿宋_GB2312"/>
          <w:snapToGrid w:val="0"/>
          <w:kern w:val="0"/>
          <w:sz w:val="32"/>
          <w:szCs w:val="32"/>
        </w:rPr>
      </w:pPr>
      <w:r>
        <w:rPr>
          <w:rFonts w:hint="eastAsia" w:ascii="Times New Roman" w:hAnsi="Times New Roman" w:eastAsia="仿宋_GB2312"/>
          <w:snapToGrid w:val="0"/>
          <w:kern w:val="0"/>
          <w:sz w:val="32"/>
          <w:szCs w:val="32"/>
        </w:rPr>
        <w:t>1.1器械及操作原理描述</w:t>
      </w:r>
    </w:p>
    <w:p>
      <w:pPr>
        <w:pStyle w:val="49"/>
        <w:overflowPunct w:val="0"/>
        <w:autoSpaceDE w:val="0"/>
        <w:autoSpaceDN w:val="0"/>
        <w:spacing w:line="520" w:lineRule="exact"/>
        <w:ind w:right="210" w:firstLine="640"/>
        <w:rPr>
          <w:rFonts w:ascii="Times New Roman" w:hAnsi="Times New Roman" w:eastAsia="仿宋_GB2312"/>
          <w:snapToGrid w:val="0"/>
          <w:kern w:val="0"/>
          <w:sz w:val="32"/>
          <w:szCs w:val="32"/>
        </w:rPr>
      </w:pPr>
      <w:r>
        <w:rPr>
          <w:rFonts w:hint="eastAsia" w:ascii="Times New Roman" w:hAnsi="Times New Roman" w:eastAsia="仿宋_GB2312"/>
          <w:snapToGrid w:val="0"/>
          <w:kern w:val="0"/>
          <w:sz w:val="32"/>
          <w:szCs w:val="32"/>
        </w:rPr>
        <w:t>1.1.1</w:t>
      </w:r>
      <w:r>
        <w:rPr>
          <w:rFonts w:ascii="Times New Roman" w:hAnsi="Times New Roman" w:eastAsia="仿宋_GB2312"/>
          <w:snapToGrid w:val="0"/>
          <w:kern w:val="0"/>
          <w:sz w:val="32"/>
          <w:szCs w:val="32"/>
        </w:rPr>
        <w:t>工作原理</w:t>
      </w:r>
    </w:p>
    <w:p>
      <w:pPr>
        <w:spacing w:line="520" w:lineRule="exact"/>
        <w:ind w:left="105" w:leftChars="50" w:firstLine="480" w:firstLineChars="150"/>
        <w:rPr>
          <w:rFonts w:hint="eastAsia" w:ascii="Times New Roman" w:hAnsi="Times New Roman" w:eastAsia="仿宋_GB2312" w:cs="Times New Roman"/>
          <w:sz w:val="32"/>
          <w:szCs w:val="32"/>
        </w:rPr>
      </w:pPr>
      <w:r>
        <w:rPr>
          <w:rFonts w:hint="eastAsia" w:eastAsia="仿宋_GB2312"/>
          <w:snapToGrid w:val="0"/>
          <w:kern w:val="0"/>
          <w:sz w:val="32"/>
          <w:szCs w:val="32"/>
        </w:rPr>
        <w:t>需</w:t>
      </w:r>
      <w:r>
        <w:rPr>
          <w:rFonts w:eastAsia="仿宋_GB2312"/>
          <w:snapToGrid w:val="0"/>
          <w:kern w:val="0"/>
          <w:sz w:val="32"/>
          <w:szCs w:val="32"/>
        </w:rPr>
        <w:t>详述</w:t>
      </w:r>
      <w:r>
        <w:rPr>
          <w:rFonts w:hint="eastAsia" w:eastAsia="仿宋_GB2312"/>
          <w:snapToGrid w:val="0"/>
          <w:kern w:val="0"/>
          <w:sz w:val="32"/>
          <w:szCs w:val="32"/>
        </w:rPr>
        <w:t>产品</w:t>
      </w:r>
      <w:r>
        <w:rPr>
          <w:rFonts w:eastAsia="仿宋_GB2312"/>
          <w:snapToGrid w:val="0"/>
          <w:kern w:val="0"/>
          <w:sz w:val="32"/>
          <w:szCs w:val="32"/>
        </w:rPr>
        <w:t>的工作原理，</w:t>
      </w:r>
      <w:r>
        <w:rPr>
          <w:rFonts w:hint="eastAsia" w:ascii="Times New Roman" w:hAnsi="Times New Roman" w:eastAsia="仿宋_GB2312" w:cs="Times New Roman"/>
          <w:sz w:val="32"/>
          <w:szCs w:val="32"/>
        </w:rPr>
        <w:t>采用示波法测量血压的电子血压计，其工作原理按测量方式可分为：降压测量和升压测量。</w:t>
      </w:r>
    </w:p>
    <w:p>
      <w:pPr>
        <w:spacing w:line="520" w:lineRule="exact"/>
        <w:ind w:left="105" w:leftChars="50" w:firstLine="480" w:firstLineChars="15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例如，降压测量法：血压计使用气泵对袖带进行充气加压，利用充气袖带压迫动脉血管，使动脉血管处于完全闭阻状态。随后开启放气阀，使袖带内压力缓慢下降。随着袖带内压力的下降，动脉血管呈完全阻闭—渐开—全开的变化过程。降压过程中，动脉内压力振幅大小变化趋势如下图所示：</w:t>
      </w:r>
    </w:p>
    <w:p>
      <w:pPr>
        <w:pStyle w:val="2"/>
        <w:jc w:val="center"/>
        <w:rPr>
          <w:rFonts w:ascii="Times New Roman" w:hAnsi="Times New Roman" w:cs="Times New Roman"/>
          <w:sz w:val="32"/>
          <w:szCs w:val="32"/>
        </w:rPr>
      </w:pPr>
      <w:r>
        <w:rPr>
          <w:rFonts w:ascii="Times New Roman" w:hAnsi="Times New Roman" w:cs="Times New Roman"/>
          <w:sz w:val="32"/>
          <w:szCs w:val="32"/>
        </w:rPr>
        <w:drawing>
          <wp:inline distT="0" distB="0" distL="114300" distR="114300">
            <wp:extent cx="4560570" cy="2260600"/>
            <wp:effectExtent l="0" t="0" r="1143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6"/>
                    <a:srcRect/>
                    <a:stretch>
                      <a:fillRect/>
                    </a:stretch>
                  </pic:blipFill>
                  <pic:spPr>
                    <a:xfrm>
                      <a:off x="1430020" y="3969385"/>
                      <a:ext cx="4560570" cy="2260600"/>
                    </a:xfrm>
                    <a:prstGeom prst="rect">
                      <a:avLst/>
                    </a:prstGeom>
                    <a:noFill/>
                    <a:ln>
                      <a:noFill/>
                    </a:ln>
                  </pic:spPr>
                </pic:pic>
              </a:graphicData>
            </a:graphic>
          </wp:inline>
        </w:drawing>
      </w:r>
    </w:p>
    <w:p>
      <w:pPr>
        <w:pStyle w:val="2"/>
        <w:keepNext w:val="0"/>
        <w:keepLines w:val="0"/>
        <w:pageBreakBefore w:val="0"/>
        <w:widowControl/>
        <w:kinsoku/>
        <w:wordWrap/>
        <w:overflowPunct/>
        <w:topLinePunct w:val="0"/>
        <w:autoSpaceDE/>
        <w:autoSpaceDN/>
        <w:bidi w:val="0"/>
        <w:adjustRightInd w:val="0"/>
        <w:snapToGrid w:val="0"/>
        <w:spacing w:line="520" w:lineRule="exact"/>
        <w:ind w:left="105" w:leftChars="50" w:firstLine="480" w:firstLineChars="150"/>
        <w:jc w:val="both"/>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压力传感器采集大小变化的袖带内压力，将其转化为数字信号送入CPU，通过嵌入式软件辨别动脉血流受阻过程中相应压力点，根据经验累积的软件算法得出人体的舒张压、收缩压和平均压。</w:t>
      </w:r>
    </w:p>
    <w:p>
      <w:pPr>
        <w:pStyle w:val="2"/>
        <w:keepNext w:val="0"/>
        <w:keepLines w:val="0"/>
        <w:pageBreakBefore w:val="0"/>
        <w:widowControl/>
        <w:kinsoku/>
        <w:wordWrap/>
        <w:overflowPunct/>
        <w:topLinePunct w:val="0"/>
        <w:autoSpaceDE/>
        <w:autoSpaceDN/>
        <w:bidi w:val="0"/>
        <w:adjustRightInd w:val="0"/>
        <w:snapToGrid w:val="0"/>
        <w:spacing w:line="520" w:lineRule="exact"/>
        <w:ind w:left="105" w:leftChars="50" w:firstLine="480" w:firstLineChars="150"/>
        <w:jc w:val="both"/>
        <w:textAlignment w:val="auto"/>
        <w:rPr>
          <w:rFonts w:hint="eastAsia" w:ascii="Times New Roman" w:hAnsi="Times New Roman" w:eastAsia="仿宋_GB2312" w:cs="Times New Roman"/>
          <w:spacing w:val="2"/>
          <w:sz w:val="32"/>
          <w:szCs w:val="32"/>
        </w:rPr>
      </w:pPr>
      <w:r>
        <w:rPr>
          <w:rFonts w:hint="eastAsia" w:ascii="Times New Roman" w:hAnsi="Times New Roman" w:eastAsia="仿宋_GB2312" w:cs="Times New Roman"/>
          <w:sz w:val="32"/>
          <w:szCs w:val="32"/>
        </w:rPr>
        <w:t>升压</w:t>
      </w:r>
      <w:r>
        <w:rPr>
          <w:rFonts w:hint="eastAsia" w:ascii="Times New Roman" w:hAnsi="Times New Roman" w:eastAsia="仿宋_GB2312" w:cs="Times New Roman"/>
          <w:spacing w:val="2"/>
          <w:sz w:val="32"/>
          <w:szCs w:val="32"/>
        </w:rPr>
        <w:t>测量法：血压计使用气泵对袖带进行充气加压，利用充气袖带压迫动脉血管，随着袖带压力的上升，动脉血管呈全开—半闭—完全阻闭的变化过程。升压过程中，动脉内压力振幅大小变化趋势如下图所示：</w:t>
      </w:r>
    </w:p>
    <w:p>
      <w:pPr>
        <w:pStyle w:val="2"/>
        <w:keepNext w:val="0"/>
        <w:keepLines w:val="0"/>
        <w:pageBreakBefore w:val="0"/>
        <w:widowControl/>
        <w:kinsoku/>
        <w:wordWrap/>
        <w:overflowPunct/>
        <w:topLinePunct w:val="0"/>
        <w:autoSpaceDE/>
        <w:autoSpaceDN/>
        <w:bidi w:val="0"/>
        <w:adjustRightInd w:val="0"/>
        <w:snapToGrid w:val="0"/>
        <w:spacing w:line="520" w:lineRule="exact"/>
        <w:ind w:left="105" w:leftChars="50" w:firstLine="486" w:firstLineChars="150"/>
        <w:jc w:val="both"/>
        <w:textAlignment w:val="auto"/>
        <w:rPr>
          <w:rFonts w:hint="eastAsia" w:ascii="Times New Roman" w:hAnsi="Times New Roman" w:eastAsia="仿宋_GB2312" w:cs="Times New Roman"/>
          <w:spacing w:val="2"/>
          <w:sz w:val="32"/>
          <w:szCs w:val="32"/>
        </w:rPr>
      </w:pPr>
    </w:p>
    <w:p>
      <w:pPr>
        <w:pStyle w:val="2"/>
        <w:keepNext w:val="0"/>
        <w:keepLines w:val="0"/>
        <w:pageBreakBefore w:val="0"/>
        <w:widowControl/>
        <w:kinsoku/>
        <w:wordWrap/>
        <w:overflowPunct/>
        <w:topLinePunct w:val="0"/>
        <w:autoSpaceDE/>
        <w:autoSpaceDN/>
        <w:bidi w:val="0"/>
        <w:adjustRightInd w:val="0"/>
        <w:snapToGrid w:val="0"/>
        <w:spacing w:line="520" w:lineRule="exact"/>
        <w:jc w:val="both"/>
        <w:textAlignment w:val="auto"/>
        <w:rPr>
          <w:rFonts w:hint="eastAsia" w:ascii="Times New Roman" w:hAnsi="Times New Roman" w:eastAsia="仿宋_GB2312" w:cs="Times New Roman"/>
          <w:spacing w:val="2"/>
          <w:sz w:val="32"/>
          <w:szCs w:val="32"/>
          <w:lang w:val="en-US" w:eastAsia="zh-CN"/>
        </w:rPr>
      </w:pPr>
    </w:p>
    <w:p>
      <w:pPr>
        <w:pStyle w:val="2"/>
        <w:keepNext w:val="0"/>
        <w:keepLines w:val="0"/>
        <w:pageBreakBefore w:val="0"/>
        <w:widowControl/>
        <w:kinsoku/>
        <w:wordWrap/>
        <w:overflowPunct/>
        <w:topLinePunct w:val="0"/>
        <w:autoSpaceDE/>
        <w:autoSpaceDN/>
        <w:bidi w:val="0"/>
        <w:adjustRightInd w:val="0"/>
        <w:snapToGrid w:val="0"/>
        <w:spacing w:line="520" w:lineRule="exact"/>
        <w:jc w:val="center"/>
        <w:textAlignment w:val="auto"/>
        <w:rPr>
          <w:rFonts w:hint="eastAsia" w:ascii="Times New Roman" w:hAnsi="Times New Roman" w:eastAsia="仿宋_GB2312" w:cs="Times New Roman"/>
          <w:kern w:val="2"/>
          <w:sz w:val="32"/>
          <w:szCs w:val="32"/>
          <w:lang w:val="en-US" w:eastAsia="zh-CN" w:bidi="ar-SA"/>
        </w:rPr>
      </w:pPr>
      <w:r>
        <w:rPr>
          <w:rFonts w:ascii="Times New Roman" w:hAnsi="Times New Roman" w:eastAsia="仿宋_GB2312" w:cs="Times New Roman"/>
          <w:sz w:val="32"/>
          <w:szCs w:val="32"/>
        </w:rPr>
        <w:drawing>
          <wp:anchor distT="0" distB="0" distL="114300" distR="114300" simplePos="0" relativeHeight="251659264" behindDoc="0" locked="0" layoutInCell="1" allowOverlap="1">
            <wp:simplePos x="0" y="0"/>
            <wp:positionH relativeFrom="column">
              <wp:posOffset>499110</wp:posOffset>
            </wp:positionH>
            <wp:positionV relativeFrom="paragraph">
              <wp:posOffset>76835</wp:posOffset>
            </wp:positionV>
            <wp:extent cx="4743450" cy="2267585"/>
            <wp:effectExtent l="0" t="0" r="6350" b="5715"/>
            <wp:wrapNone/>
            <wp:docPr id="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pic:cNvPicPr>
                      <a:picLocks noChangeAspect="1" noChangeArrowheads="1"/>
                    </pic:cNvPicPr>
                  </pic:nvPicPr>
                  <pic:blipFill>
                    <a:blip r:embed="rId7"/>
                    <a:srcRect/>
                    <a:stretch>
                      <a:fillRect/>
                    </a:stretch>
                  </pic:blipFill>
                  <pic:spPr>
                    <a:xfrm>
                      <a:off x="1420495" y="1192530"/>
                      <a:ext cx="4743450" cy="2267585"/>
                    </a:xfrm>
                    <a:prstGeom prst="rect">
                      <a:avLst/>
                    </a:prstGeom>
                    <a:noFill/>
                    <a:ln>
                      <a:noFill/>
                    </a:ln>
                  </pic:spPr>
                </pic:pic>
              </a:graphicData>
            </a:graphic>
          </wp:anchor>
        </w:drawing>
      </w:r>
    </w:p>
    <w:p>
      <w:pPr>
        <w:pStyle w:val="2"/>
        <w:keepNext w:val="0"/>
        <w:keepLines w:val="0"/>
        <w:pageBreakBefore w:val="0"/>
        <w:widowControl/>
        <w:kinsoku/>
        <w:wordWrap/>
        <w:overflowPunct/>
        <w:topLinePunct w:val="0"/>
        <w:autoSpaceDE/>
        <w:autoSpaceDN/>
        <w:bidi w:val="0"/>
        <w:adjustRightInd w:val="0"/>
        <w:snapToGrid w:val="0"/>
        <w:spacing w:line="520" w:lineRule="exact"/>
        <w:ind w:left="105" w:leftChars="50" w:firstLine="480" w:firstLineChars="150"/>
        <w:jc w:val="both"/>
        <w:textAlignment w:val="auto"/>
        <w:rPr>
          <w:rFonts w:hint="eastAsia" w:ascii="Times New Roman" w:hAnsi="Times New Roman" w:eastAsia="仿宋_GB2312" w:cs="Times New Roman"/>
          <w:kern w:val="2"/>
          <w:sz w:val="32"/>
          <w:szCs w:val="32"/>
          <w:lang w:val="en-US" w:eastAsia="zh-CN" w:bidi="ar-SA"/>
        </w:rPr>
      </w:pPr>
    </w:p>
    <w:p>
      <w:pPr>
        <w:pStyle w:val="2"/>
        <w:keepNext w:val="0"/>
        <w:keepLines w:val="0"/>
        <w:pageBreakBefore w:val="0"/>
        <w:widowControl/>
        <w:kinsoku/>
        <w:wordWrap/>
        <w:overflowPunct/>
        <w:topLinePunct w:val="0"/>
        <w:autoSpaceDE/>
        <w:autoSpaceDN/>
        <w:bidi w:val="0"/>
        <w:adjustRightInd w:val="0"/>
        <w:snapToGrid w:val="0"/>
        <w:spacing w:line="520" w:lineRule="exact"/>
        <w:ind w:left="105" w:leftChars="50" w:firstLine="480" w:firstLineChars="150"/>
        <w:jc w:val="both"/>
        <w:textAlignment w:val="auto"/>
        <w:rPr>
          <w:rFonts w:hint="eastAsia" w:ascii="Times New Roman" w:hAnsi="Times New Roman" w:eastAsia="仿宋_GB2312" w:cs="Times New Roman"/>
          <w:kern w:val="2"/>
          <w:sz w:val="32"/>
          <w:szCs w:val="32"/>
          <w:lang w:val="en-US" w:eastAsia="zh-CN" w:bidi="ar-SA"/>
        </w:rPr>
      </w:pPr>
    </w:p>
    <w:p>
      <w:pPr>
        <w:pStyle w:val="49"/>
        <w:overflowPunct w:val="0"/>
        <w:autoSpaceDE w:val="0"/>
        <w:autoSpaceDN w:val="0"/>
        <w:spacing w:line="520" w:lineRule="exact"/>
        <w:ind w:left="431" w:right="210" w:firstLine="200" w:firstLineChars="0"/>
        <w:rPr>
          <w:rFonts w:hint="eastAsia" w:ascii="Times New Roman" w:hAnsi="Times New Roman" w:eastAsia="仿宋_GB2312"/>
          <w:snapToGrid w:val="0"/>
          <w:kern w:val="0"/>
          <w:sz w:val="32"/>
          <w:szCs w:val="32"/>
        </w:rPr>
      </w:pPr>
    </w:p>
    <w:p>
      <w:pPr>
        <w:pStyle w:val="49"/>
        <w:overflowPunct w:val="0"/>
        <w:autoSpaceDE w:val="0"/>
        <w:autoSpaceDN w:val="0"/>
        <w:spacing w:line="520" w:lineRule="exact"/>
        <w:ind w:left="431" w:right="210" w:firstLine="200" w:firstLineChars="0"/>
        <w:rPr>
          <w:rFonts w:hint="eastAsia" w:ascii="Times New Roman" w:hAnsi="Times New Roman" w:eastAsia="仿宋_GB2312"/>
          <w:snapToGrid w:val="0"/>
          <w:kern w:val="0"/>
          <w:sz w:val="32"/>
          <w:szCs w:val="32"/>
        </w:rPr>
      </w:pPr>
    </w:p>
    <w:p>
      <w:pPr>
        <w:pStyle w:val="49"/>
        <w:overflowPunct w:val="0"/>
        <w:autoSpaceDE w:val="0"/>
        <w:autoSpaceDN w:val="0"/>
        <w:spacing w:line="520" w:lineRule="exact"/>
        <w:ind w:left="431" w:right="210" w:firstLine="200" w:firstLineChars="0"/>
        <w:rPr>
          <w:rFonts w:hint="eastAsia" w:ascii="Times New Roman" w:hAnsi="Times New Roman" w:eastAsia="仿宋_GB2312"/>
          <w:snapToGrid w:val="0"/>
          <w:kern w:val="0"/>
          <w:sz w:val="32"/>
          <w:szCs w:val="32"/>
        </w:rPr>
      </w:pPr>
    </w:p>
    <w:p>
      <w:pPr>
        <w:pStyle w:val="49"/>
        <w:overflowPunct w:val="0"/>
        <w:autoSpaceDE w:val="0"/>
        <w:autoSpaceDN w:val="0"/>
        <w:spacing w:line="520" w:lineRule="exact"/>
        <w:ind w:left="431" w:right="210" w:firstLine="200" w:firstLineChars="0"/>
        <w:rPr>
          <w:rFonts w:hint="eastAsia" w:ascii="Times New Roman" w:hAnsi="Times New Roman" w:eastAsia="仿宋_GB2312"/>
          <w:snapToGrid w:val="0"/>
          <w:kern w:val="0"/>
          <w:sz w:val="32"/>
          <w:szCs w:val="32"/>
        </w:rPr>
      </w:pPr>
    </w:p>
    <w:p>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压力传感器采集大小变化的袖带内压力振幅变化，将其转化为数字信号送入</w:t>
      </w:r>
      <w:r>
        <w:rPr>
          <w:rFonts w:ascii="Times New Roman" w:hAnsi="Times New Roman" w:eastAsia="仿宋_GB2312" w:cs="Times New Roman"/>
          <w:sz w:val="32"/>
          <w:szCs w:val="32"/>
        </w:rPr>
        <w:t>CPU</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使用嵌入式软件分析，辨别动脉血流受阻过程中相应压力点来确定人体的舒张压、收缩压和平均压。</w:t>
      </w:r>
    </w:p>
    <w:p>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不管是降压测量还是升压测量</w:t>
      </w:r>
      <w:r>
        <w:rPr>
          <w:rFonts w:ascii="Times New Roman" w:hAnsi="Times New Roman" w:eastAsia="仿宋_GB2312" w:cs="Times New Roman"/>
          <w:sz w:val="32"/>
          <w:szCs w:val="32"/>
        </w:rPr>
        <w:t xml:space="preserve">, </w:t>
      </w:r>
      <w:r>
        <w:rPr>
          <w:rFonts w:hint="eastAsia" w:ascii="Times New Roman" w:hAnsi="Times New Roman" w:eastAsia="仿宋_GB2312" w:cs="Times New Roman"/>
          <w:sz w:val="32"/>
          <w:szCs w:val="32"/>
        </w:rPr>
        <w:t>软件算法中的参数需要根据血压计结构变化，袖带尺寸变化，临床数据收集等情况不断进行修正。</w:t>
      </w:r>
    </w:p>
    <w:p>
      <w:pPr>
        <w:widowControl w:val="0"/>
        <w:spacing w:line="52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因该产品为非直接治疗类医疗器械，故本指导原则不包含产品作用机理的内容。</w:t>
      </w:r>
    </w:p>
    <w:p>
      <w:pPr>
        <w:pStyle w:val="49"/>
        <w:overflowPunct w:val="0"/>
        <w:autoSpaceDE w:val="0"/>
        <w:autoSpaceDN w:val="0"/>
        <w:spacing w:line="520" w:lineRule="exact"/>
        <w:ind w:left="431" w:right="210" w:firstLine="200" w:firstLineChars="0"/>
        <w:rPr>
          <w:rFonts w:ascii="Times New Roman" w:hAnsi="Times New Roman" w:eastAsia="仿宋_GB2312"/>
          <w:snapToGrid w:val="0"/>
          <w:kern w:val="0"/>
          <w:sz w:val="32"/>
          <w:szCs w:val="32"/>
        </w:rPr>
      </w:pPr>
      <w:r>
        <w:rPr>
          <w:rFonts w:hint="eastAsia" w:ascii="Times New Roman" w:hAnsi="Times New Roman" w:eastAsia="仿宋_GB2312"/>
          <w:snapToGrid w:val="0"/>
          <w:kern w:val="0"/>
          <w:sz w:val="32"/>
          <w:szCs w:val="32"/>
        </w:rPr>
        <w:t>1.1.2</w:t>
      </w:r>
      <w:r>
        <w:rPr>
          <w:rFonts w:ascii="Times New Roman" w:hAnsi="Times New Roman" w:eastAsia="仿宋_GB2312"/>
          <w:snapToGrid w:val="0"/>
          <w:kern w:val="0"/>
          <w:sz w:val="32"/>
          <w:szCs w:val="32"/>
        </w:rPr>
        <w:t>结构组成</w:t>
      </w:r>
    </w:p>
    <w:p>
      <w:pPr>
        <w:spacing w:line="520" w:lineRule="exact"/>
        <w:ind w:firstLine="640" w:firstLineChars="200"/>
        <w:rPr>
          <w:rFonts w:hint="eastAsia" w:ascii="Times New Roman" w:hAnsi="Times New Roman" w:eastAsia="仿宋_GB2312" w:cs="Times New Roman"/>
          <w:snapToGrid w:val="0"/>
          <w:kern w:val="0"/>
          <w:sz w:val="32"/>
          <w:szCs w:val="32"/>
        </w:rPr>
      </w:pPr>
      <w:r>
        <w:rPr>
          <w:rFonts w:hint="eastAsia" w:ascii="Times New Roman" w:hAnsi="Times New Roman" w:eastAsia="仿宋_GB2312" w:cs="Times New Roman"/>
          <w:snapToGrid w:val="0"/>
          <w:kern w:val="0"/>
          <w:sz w:val="32"/>
          <w:szCs w:val="32"/>
        </w:rPr>
        <w:t>电子血压计的组成一般包括主机、袖带或腕带，某些机型还配有电源适配器、通信线缆。</w:t>
      </w:r>
    </w:p>
    <w:p>
      <w:pPr>
        <w:spacing w:line="520" w:lineRule="exact"/>
        <w:ind w:firstLine="640" w:firstLineChars="200"/>
        <w:rPr>
          <w:rFonts w:eastAsia="仿宋_GB2312"/>
          <w:snapToGrid w:val="0"/>
          <w:color w:val="auto"/>
          <w:kern w:val="0"/>
          <w:sz w:val="32"/>
          <w:szCs w:val="32"/>
        </w:rPr>
      </w:pPr>
      <w:r>
        <w:rPr>
          <w:rFonts w:hint="eastAsia" w:ascii="Times New Roman" w:hAnsi="Times New Roman" w:eastAsia="仿宋_GB2312" w:cs="Times New Roman"/>
          <w:sz w:val="32"/>
          <w:szCs w:val="32"/>
          <w:highlight w:val="none"/>
        </w:rPr>
        <w:t>电子血压计的主机结构通常包括</w:t>
      </w:r>
      <w:r>
        <w:rPr>
          <w:rFonts w:hint="eastAsia" w:ascii="Times New Roman" w:hAnsi="Times New Roman" w:eastAsia="仿宋_GB2312" w:cs="Times New Roman"/>
          <w:color w:val="auto"/>
          <w:sz w:val="32"/>
          <w:szCs w:val="32"/>
          <w:highlight w:val="none"/>
        </w:rPr>
        <w:t>气泵</w:t>
      </w:r>
      <w:r>
        <w:rPr>
          <w:rFonts w:hint="eastAsia" w:ascii="Times New Roman" w:hAnsi="Times New Roman" w:eastAsia="仿宋_GB2312" w:cs="Times New Roman"/>
          <w:sz w:val="32"/>
          <w:szCs w:val="32"/>
          <w:highlight w:val="none"/>
        </w:rPr>
        <w:t>、压力传感器、放气阀、电源供应电路、按键控制电路、显示模块、</w:t>
      </w:r>
      <w:r>
        <w:rPr>
          <w:rFonts w:ascii="Times New Roman" w:hAnsi="Times New Roman" w:eastAsia="仿宋_GB2312" w:cs="Times New Roman"/>
          <w:sz w:val="32"/>
          <w:szCs w:val="32"/>
          <w:highlight w:val="none"/>
        </w:rPr>
        <w:t>CPU</w:t>
      </w:r>
      <w:r>
        <w:rPr>
          <w:rFonts w:hint="eastAsia" w:ascii="Times New Roman" w:hAnsi="Times New Roman" w:eastAsia="仿宋_GB2312" w:cs="Times New Roman"/>
          <w:sz w:val="32"/>
          <w:szCs w:val="32"/>
          <w:highlight w:val="none"/>
        </w:rPr>
        <w:t>控制模块、嵌入式软件</w:t>
      </w:r>
      <w:r>
        <w:rPr>
          <w:rFonts w:hint="eastAsia" w:eastAsia="仿宋_GB2312" w:cs="Times New Roman"/>
          <w:sz w:val="32"/>
          <w:szCs w:val="32"/>
          <w:highlight w:val="none"/>
          <w:lang w:eastAsia="zh-CN"/>
        </w:rPr>
        <w:t>、</w:t>
      </w:r>
      <w:r>
        <w:rPr>
          <w:rFonts w:hint="eastAsia" w:eastAsia="仿宋_GB2312" w:cs="Times New Roman"/>
          <w:color w:val="auto"/>
          <w:sz w:val="32"/>
          <w:szCs w:val="32"/>
          <w:highlight w:val="none"/>
          <w:lang w:val="en-US" w:eastAsia="zh-CN"/>
        </w:rPr>
        <w:t>IOT（联网传输功能模块）</w:t>
      </w:r>
      <w:r>
        <w:rPr>
          <w:rFonts w:hint="eastAsia" w:ascii="Times New Roman" w:hAnsi="Times New Roman" w:eastAsia="仿宋_GB2312" w:cs="Times New Roman"/>
          <w:sz w:val="32"/>
          <w:szCs w:val="32"/>
          <w:highlight w:val="none"/>
        </w:rPr>
        <w:t>等。产品的关键部件为：</w:t>
      </w:r>
      <w:r>
        <w:rPr>
          <w:rFonts w:hint="eastAsia" w:ascii="Times New Roman" w:hAnsi="Times New Roman" w:eastAsia="仿宋_GB2312" w:cs="Times New Roman"/>
          <w:color w:val="auto"/>
          <w:sz w:val="32"/>
          <w:szCs w:val="32"/>
          <w:highlight w:val="none"/>
        </w:rPr>
        <w:t>压力传感器、袖带或腕带、嵌入式软件（用于血压监测过程控制、信号特征提取以及血压的计算）</w:t>
      </w:r>
      <w:r>
        <w:rPr>
          <w:rFonts w:eastAsia="仿宋_GB2312"/>
          <w:snapToGrid w:val="0"/>
          <w:color w:val="auto"/>
          <w:kern w:val="0"/>
          <w:sz w:val="32"/>
          <w:szCs w:val="32"/>
        </w:rPr>
        <w:t>。</w:t>
      </w:r>
    </w:p>
    <w:p>
      <w:pPr>
        <w:widowControl w:val="0"/>
        <w:spacing w:line="520" w:lineRule="exact"/>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rPr>
        <w:t>电子血压计按电源部分结构可分为：交流、直流和交直流两用。</w:t>
      </w:r>
      <w:r>
        <w:rPr>
          <w:rFonts w:hint="eastAsia" w:ascii="Times New Roman" w:hAnsi="Times New Roman" w:eastAsia="仿宋_GB2312" w:cs="Times New Roman"/>
          <w:sz w:val="32"/>
          <w:szCs w:val="32"/>
          <w:highlight w:val="none"/>
        </w:rPr>
        <w:t>使用交流电源的产品一般会配有外置的电源适配器。</w:t>
      </w:r>
    </w:p>
    <w:p>
      <w:pPr>
        <w:widowControl w:val="0"/>
        <w:spacing w:line="52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电子血压计的</w:t>
      </w:r>
      <w:r>
        <w:rPr>
          <w:rFonts w:hint="eastAsia" w:eastAsia="仿宋_GB2312" w:cs="Times New Roman"/>
          <w:sz w:val="32"/>
          <w:szCs w:val="32"/>
          <w:lang w:val="en-US" w:eastAsia="zh-CN"/>
        </w:rPr>
        <w:t>气泵和放气阀</w:t>
      </w:r>
      <w:r>
        <w:rPr>
          <w:rFonts w:hint="eastAsia" w:ascii="Times New Roman" w:hAnsi="Times New Roman" w:eastAsia="仿宋_GB2312" w:cs="Times New Roman"/>
          <w:sz w:val="32"/>
          <w:szCs w:val="32"/>
        </w:rPr>
        <w:t>可分为：</w:t>
      </w:r>
      <w:r>
        <w:rPr>
          <w:rFonts w:hint="eastAsia" w:eastAsia="仿宋_GB2312" w:cs="Times New Roman"/>
          <w:sz w:val="32"/>
          <w:szCs w:val="32"/>
          <w:lang w:val="en-US" w:eastAsia="zh-CN"/>
        </w:rPr>
        <w:t>泵阀分体式</w:t>
      </w:r>
      <w:r>
        <w:rPr>
          <w:rFonts w:hint="eastAsia" w:ascii="Times New Roman" w:hAnsi="Times New Roman" w:eastAsia="仿宋_GB2312" w:cs="Times New Roman"/>
          <w:sz w:val="32"/>
          <w:szCs w:val="32"/>
        </w:rPr>
        <w:t>和泵阀一体式。</w:t>
      </w:r>
    </w:p>
    <w:p>
      <w:pPr>
        <w:pStyle w:val="2"/>
        <w:jc w:val="center"/>
        <w:rPr>
          <w:rFonts w:ascii="Times New Roman" w:hAnsi="Times New Roman" w:cs="Times New Roman"/>
          <w:sz w:val="32"/>
          <w:szCs w:val="32"/>
        </w:rPr>
      </w:pPr>
      <w:r>
        <w:rPr>
          <w:rFonts w:ascii="Times New Roman" w:hAnsi="Times New Roman" w:cs="Times New Roman"/>
          <w:sz w:val="32"/>
          <w:szCs w:val="32"/>
        </w:rPr>
        <w:drawing>
          <wp:inline distT="0" distB="0" distL="114300" distR="114300">
            <wp:extent cx="4594860" cy="2964180"/>
            <wp:effectExtent l="9525" t="9525" r="18415" b="10795"/>
            <wp:docPr id="3" name="图片 0" descr="未标题-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0" descr="未标题-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594860" cy="2964180"/>
                    </a:xfrm>
                    <a:prstGeom prst="rect">
                      <a:avLst/>
                    </a:prstGeom>
                    <a:noFill/>
                    <a:ln w="3175">
                      <a:solidFill>
                        <a:srgbClr val="000000"/>
                      </a:solidFill>
                      <a:miter lim="800000"/>
                      <a:headEnd/>
                      <a:tailEnd/>
                    </a:ln>
                  </pic:spPr>
                </pic:pic>
              </a:graphicData>
            </a:graphic>
          </wp:inline>
        </w:drawing>
      </w:r>
    </w:p>
    <w:p>
      <w:pPr>
        <w:pStyle w:val="2"/>
        <w:jc w:val="center"/>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泵阀分体式</w:t>
      </w:r>
      <w:r>
        <w:rPr>
          <w:rFonts w:hint="eastAsia" w:ascii="Times New Roman" w:hAnsi="Times New Roman" w:eastAsia="仿宋_GB2312" w:cs="Times New Roman"/>
          <w:sz w:val="32"/>
          <w:szCs w:val="32"/>
        </w:rPr>
        <w:t>血压计结构框图</w:t>
      </w:r>
    </w:p>
    <w:p>
      <w:pPr>
        <w:pStyle w:val="2"/>
        <w:jc w:val="center"/>
        <w:rPr>
          <w:rFonts w:ascii="Times New Roman" w:hAnsi="Times New Roman" w:cs="Times New Roman"/>
          <w:sz w:val="32"/>
          <w:szCs w:val="32"/>
        </w:rPr>
      </w:pPr>
      <w:r>
        <w:rPr>
          <w:rFonts w:ascii="Times New Roman" w:hAnsi="Times New Roman" w:cs="Times New Roman"/>
          <w:sz w:val="32"/>
          <w:szCs w:val="32"/>
        </w:rPr>
        <w:drawing>
          <wp:inline distT="0" distB="0" distL="114300" distR="114300">
            <wp:extent cx="4602480" cy="3017520"/>
            <wp:effectExtent l="9525" t="9525" r="10795" b="20955"/>
            <wp:docPr id="4" name="图片 4" descr="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标题-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602480" cy="3017520"/>
                    </a:xfrm>
                    <a:prstGeom prst="rect">
                      <a:avLst/>
                    </a:prstGeom>
                    <a:noFill/>
                    <a:ln w="3175">
                      <a:solidFill>
                        <a:srgbClr val="000000"/>
                      </a:solidFill>
                      <a:miter lim="800000"/>
                      <a:headEnd/>
                      <a:tailEnd/>
                    </a:ln>
                  </pic:spPr>
                </pic:pic>
              </a:graphicData>
            </a:graphic>
          </wp:inline>
        </w:drawing>
      </w:r>
    </w:p>
    <w:p>
      <w:pPr>
        <w:pStyle w:val="2"/>
        <w:jc w:val="center"/>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泵阀一体式电子血压计结构框图</w:t>
      </w:r>
    </w:p>
    <w:p>
      <w:pPr>
        <w:keepNext w:val="0"/>
        <w:keepLines w:val="0"/>
        <w:pageBreakBefore w:val="0"/>
        <w:widowControl w:val="0"/>
        <w:kinsoku/>
        <w:wordWrap/>
        <w:overflowPunct/>
        <w:topLinePunct w:val="0"/>
        <w:autoSpaceDE/>
        <w:autoSpaceDN/>
        <w:bidi w:val="0"/>
        <w:spacing w:line="520" w:lineRule="exact"/>
        <w:ind w:left="105" w:leftChars="50" w:firstLine="480" w:firstLineChars="150"/>
        <w:textAlignment w:val="auto"/>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自动加压包括</w:t>
      </w:r>
      <w:r>
        <w:rPr>
          <w:rFonts w:hint="eastAsia" w:ascii="Times New Roman" w:hAnsi="Times New Roman" w:eastAsia="仿宋_GB2312" w:cs="Times New Roman"/>
          <w:color w:val="auto"/>
          <w:sz w:val="32"/>
          <w:szCs w:val="32"/>
          <w:highlight w:val="none"/>
        </w:rPr>
        <w:t>直接加压和预判加压</w:t>
      </w:r>
      <w:r>
        <w:rPr>
          <w:rFonts w:hint="eastAsia" w:ascii="Times New Roman" w:hAnsi="Times New Roman" w:eastAsia="仿宋_GB2312" w:cs="Times New Roman"/>
          <w:sz w:val="32"/>
          <w:szCs w:val="32"/>
          <w:highlight w:val="none"/>
        </w:rPr>
        <w:t>两种。直接加压即在充气过程中，使袖带压直接上升到一个固定的压力值。预判加压即在充气加压过程中预测量患者血压的大致值，并根据预测量的收缩压值来确定充气的袖带压力值。</w:t>
      </w:r>
    </w:p>
    <w:p>
      <w:pPr>
        <w:pStyle w:val="2"/>
        <w:keepNext w:val="0"/>
        <w:keepLines w:val="0"/>
        <w:pageBreakBefore w:val="0"/>
        <w:kinsoku/>
        <w:wordWrap/>
        <w:overflowPunct/>
        <w:topLinePunct w:val="0"/>
        <w:autoSpaceDE/>
        <w:autoSpaceDN/>
        <w:bidi w:val="0"/>
        <w:spacing w:line="520" w:lineRule="exact"/>
        <w:ind w:left="105" w:leftChars="50" w:firstLine="480" w:firstLineChars="150"/>
        <w:jc w:val="both"/>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电子血压计按测量部位可分为：上臂式，手腕式。</w:t>
      </w:r>
    </w:p>
    <w:p>
      <w:pPr>
        <w:pStyle w:val="2"/>
        <w:keepNext w:val="0"/>
        <w:keepLines w:val="0"/>
        <w:pageBreakBefore w:val="0"/>
        <w:widowControl/>
        <w:kinsoku/>
        <w:wordWrap/>
        <w:overflowPunct/>
        <w:topLinePunct w:val="0"/>
        <w:autoSpaceDE/>
        <w:autoSpaceDN/>
        <w:bidi w:val="0"/>
        <w:adjustRightInd w:val="0"/>
        <w:snapToGrid w:val="0"/>
        <w:spacing w:line="520" w:lineRule="exact"/>
        <w:ind w:left="105" w:leftChars="50" w:firstLine="480" w:firstLineChars="150"/>
        <w:jc w:val="center"/>
        <w:textAlignment w:val="auto"/>
        <w:rPr>
          <w:rFonts w:hint="eastAsia" w:ascii="Times New Roman" w:hAnsi="Times New Roman" w:eastAsia="仿宋_GB2312" w:cs="Times New Roman"/>
          <w:snapToGrid w:val="0"/>
          <w:kern w:val="0"/>
          <w:sz w:val="32"/>
          <w:szCs w:val="32"/>
          <w:lang w:val="en-US" w:eastAsia="zh-CN" w:bidi="ar-SA"/>
        </w:rPr>
      </w:pPr>
      <w:r>
        <w:rPr>
          <w:rFonts w:hint="eastAsia" w:ascii="Times New Roman" w:hAnsi="Times New Roman" w:eastAsia="仿宋_GB2312" w:cs="Times New Roman"/>
          <w:snapToGrid w:val="0"/>
          <w:kern w:val="0"/>
          <w:sz w:val="32"/>
          <w:szCs w:val="32"/>
          <w:lang w:val="en-US" w:eastAsia="zh-CN" w:bidi="ar-SA"/>
        </w:rPr>
        <w:t>电子血压计的主要功能为测量并显示人体的血压和脉率。</w:t>
      </w:r>
    </w:p>
    <w:p>
      <w:pPr>
        <w:pStyle w:val="2"/>
        <w:keepNext w:val="0"/>
        <w:keepLines w:val="0"/>
        <w:pageBreakBefore w:val="0"/>
        <w:widowControl/>
        <w:kinsoku/>
        <w:wordWrap/>
        <w:overflowPunct/>
        <w:topLinePunct w:val="0"/>
        <w:autoSpaceDE/>
        <w:autoSpaceDN/>
        <w:bidi w:val="0"/>
        <w:adjustRightInd w:val="0"/>
        <w:snapToGrid w:val="0"/>
        <w:spacing w:line="520" w:lineRule="exact"/>
        <w:ind w:left="105" w:leftChars="50" w:firstLine="480" w:firstLineChars="150"/>
        <w:jc w:val="both"/>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产品图示举例如下：</w:t>
      </w:r>
    </w:p>
    <w:p>
      <w:pPr>
        <w:pStyle w:val="2"/>
        <w:keepNext w:val="0"/>
        <w:keepLines w:val="0"/>
        <w:pageBreakBefore w:val="0"/>
        <w:widowControl/>
        <w:kinsoku/>
        <w:wordWrap/>
        <w:overflowPunct/>
        <w:topLinePunct w:val="0"/>
        <w:autoSpaceDE/>
        <w:autoSpaceDN/>
        <w:bidi w:val="0"/>
        <w:adjustRightInd w:val="0"/>
        <w:snapToGrid w:val="0"/>
        <w:spacing w:line="240" w:lineRule="auto"/>
        <w:ind w:left="105" w:leftChars="50" w:firstLine="480" w:firstLineChars="150"/>
        <w:jc w:val="center"/>
        <w:textAlignment w:val="auto"/>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drawing>
          <wp:inline distT="0" distB="0" distL="114300" distR="114300">
            <wp:extent cx="3316605" cy="2485390"/>
            <wp:effectExtent l="0" t="0" r="10795" b="3810"/>
            <wp:docPr id="9"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1"/>
                    <pic:cNvPicPr>
                      <a:picLocks noChangeAspect="1"/>
                    </pic:cNvPicPr>
                  </pic:nvPicPr>
                  <pic:blipFill>
                    <a:blip r:embed="rId10"/>
                    <a:stretch>
                      <a:fillRect/>
                    </a:stretch>
                  </pic:blipFill>
                  <pic:spPr>
                    <a:xfrm>
                      <a:off x="0" y="0"/>
                      <a:ext cx="3316605" cy="2485390"/>
                    </a:xfrm>
                    <a:prstGeom prst="rect">
                      <a:avLst/>
                    </a:prstGeom>
                  </pic:spPr>
                </pic:pic>
              </a:graphicData>
            </a:graphic>
          </wp:inline>
        </w:drawing>
      </w:r>
    </w:p>
    <w:p>
      <w:pPr>
        <w:pStyle w:val="2"/>
        <w:keepNext w:val="0"/>
        <w:keepLines w:val="0"/>
        <w:pageBreakBefore w:val="0"/>
        <w:widowControl/>
        <w:kinsoku/>
        <w:wordWrap/>
        <w:overflowPunct/>
        <w:topLinePunct w:val="0"/>
        <w:autoSpaceDE/>
        <w:autoSpaceDN/>
        <w:bidi w:val="0"/>
        <w:adjustRightInd w:val="0"/>
        <w:snapToGrid w:val="0"/>
        <w:spacing w:line="240" w:lineRule="auto"/>
        <w:ind w:left="105" w:leftChars="50" w:firstLine="480" w:firstLineChars="150"/>
        <w:jc w:val="center"/>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上臂式电子血压计（筒状）</w:t>
      </w:r>
    </w:p>
    <w:p>
      <w:pPr>
        <w:pStyle w:val="2"/>
        <w:keepNext w:val="0"/>
        <w:keepLines w:val="0"/>
        <w:pageBreakBefore w:val="0"/>
        <w:widowControl/>
        <w:kinsoku/>
        <w:wordWrap/>
        <w:overflowPunct/>
        <w:topLinePunct w:val="0"/>
        <w:autoSpaceDE/>
        <w:autoSpaceDN/>
        <w:bidi w:val="0"/>
        <w:adjustRightInd w:val="0"/>
        <w:snapToGrid w:val="0"/>
        <w:spacing w:line="240" w:lineRule="auto"/>
        <w:ind w:left="105" w:leftChars="50" w:firstLine="480" w:firstLineChars="150"/>
        <w:jc w:val="center"/>
        <w:textAlignment w:val="auto"/>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drawing>
          <wp:inline distT="0" distB="0" distL="114300" distR="114300">
            <wp:extent cx="3378200" cy="2127250"/>
            <wp:effectExtent l="0" t="0" r="0" b="6350"/>
            <wp:docPr id="10" name="图片 10"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2"/>
                    <pic:cNvPicPr>
                      <a:picLocks noChangeAspect="1"/>
                    </pic:cNvPicPr>
                  </pic:nvPicPr>
                  <pic:blipFill>
                    <a:blip r:embed="rId11"/>
                    <a:stretch>
                      <a:fillRect/>
                    </a:stretch>
                  </pic:blipFill>
                  <pic:spPr>
                    <a:xfrm>
                      <a:off x="0" y="0"/>
                      <a:ext cx="3378200" cy="2127250"/>
                    </a:xfrm>
                    <a:prstGeom prst="rect">
                      <a:avLst/>
                    </a:prstGeom>
                  </pic:spPr>
                </pic:pic>
              </a:graphicData>
            </a:graphic>
          </wp:inline>
        </w:drawing>
      </w:r>
    </w:p>
    <w:p>
      <w:pPr>
        <w:pStyle w:val="2"/>
        <w:keepNext w:val="0"/>
        <w:keepLines w:val="0"/>
        <w:pageBreakBefore w:val="0"/>
        <w:widowControl/>
        <w:kinsoku/>
        <w:wordWrap/>
        <w:overflowPunct/>
        <w:topLinePunct w:val="0"/>
        <w:autoSpaceDE/>
        <w:autoSpaceDN/>
        <w:bidi w:val="0"/>
        <w:adjustRightInd w:val="0"/>
        <w:snapToGrid w:val="0"/>
        <w:spacing w:line="240" w:lineRule="auto"/>
        <w:ind w:left="105" w:leftChars="50" w:firstLine="480" w:firstLineChars="150"/>
        <w:jc w:val="center"/>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上臂式电子血压计</w:t>
      </w:r>
    </w:p>
    <w:p>
      <w:pPr>
        <w:pStyle w:val="2"/>
        <w:keepNext w:val="0"/>
        <w:keepLines w:val="0"/>
        <w:pageBreakBefore w:val="0"/>
        <w:widowControl/>
        <w:kinsoku/>
        <w:wordWrap/>
        <w:overflowPunct/>
        <w:topLinePunct w:val="0"/>
        <w:autoSpaceDE/>
        <w:autoSpaceDN/>
        <w:bidi w:val="0"/>
        <w:adjustRightInd w:val="0"/>
        <w:snapToGrid w:val="0"/>
        <w:spacing w:line="240" w:lineRule="auto"/>
        <w:ind w:left="105" w:leftChars="50" w:firstLine="480" w:firstLineChars="150"/>
        <w:jc w:val="center"/>
        <w:textAlignment w:val="auto"/>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drawing>
          <wp:inline distT="0" distB="0" distL="114300" distR="114300">
            <wp:extent cx="1675765" cy="1774825"/>
            <wp:effectExtent l="0" t="0" r="635" b="3175"/>
            <wp:docPr id="11" name="图片 11"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3"/>
                    <pic:cNvPicPr>
                      <a:picLocks noChangeAspect="1"/>
                    </pic:cNvPicPr>
                  </pic:nvPicPr>
                  <pic:blipFill>
                    <a:blip r:embed="rId12"/>
                    <a:stretch>
                      <a:fillRect/>
                    </a:stretch>
                  </pic:blipFill>
                  <pic:spPr>
                    <a:xfrm>
                      <a:off x="0" y="0"/>
                      <a:ext cx="1675765" cy="1774825"/>
                    </a:xfrm>
                    <a:prstGeom prst="rect">
                      <a:avLst/>
                    </a:prstGeom>
                  </pic:spPr>
                </pic:pic>
              </a:graphicData>
            </a:graphic>
          </wp:inline>
        </w:drawing>
      </w:r>
    </w:p>
    <w:p>
      <w:pPr>
        <w:pStyle w:val="2"/>
        <w:keepNext w:val="0"/>
        <w:keepLines w:val="0"/>
        <w:pageBreakBefore w:val="0"/>
        <w:widowControl/>
        <w:kinsoku/>
        <w:wordWrap/>
        <w:overflowPunct/>
        <w:topLinePunct w:val="0"/>
        <w:autoSpaceDE/>
        <w:autoSpaceDN/>
        <w:bidi w:val="0"/>
        <w:adjustRightInd w:val="0"/>
        <w:snapToGrid w:val="0"/>
        <w:spacing w:line="240" w:lineRule="auto"/>
        <w:ind w:left="105" w:leftChars="50" w:firstLine="480" w:firstLineChars="150"/>
        <w:jc w:val="center"/>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手腕式电子血压计</w:t>
      </w:r>
    </w:p>
    <w:p>
      <w:pPr>
        <w:pStyle w:val="2"/>
        <w:keepNext w:val="0"/>
        <w:keepLines w:val="0"/>
        <w:pageBreakBefore w:val="0"/>
        <w:widowControl/>
        <w:kinsoku/>
        <w:wordWrap/>
        <w:overflowPunct/>
        <w:topLinePunct w:val="0"/>
        <w:autoSpaceDE/>
        <w:autoSpaceDN/>
        <w:bidi w:val="0"/>
        <w:adjustRightInd w:val="0"/>
        <w:snapToGrid w:val="0"/>
        <w:spacing w:line="240" w:lineRule="auto"/>
        <w:ind w:left="105" w:leftChars="50" w:firstLine="480" w:firstLineChars="150"/>
        <w:jc w:val="center"/>
        <w:textAlignment w:val="auto"/>
        <w:rPr>
          <w:rFonts w:hint="eastAsia" w:ascii="Times New Roman" w:hAnsi="Times New Roman" w:eastAsia="仿宋_GB2312" w:cs="Times New Roman"/>
          <w:sz w:val="32"/>
          <w:szCs w:val="32"/>
          <w:lang w:eastAsia="zh-CN"/>
        </w:rPr>
      </w:pPr>
    </w:p>
    <w:p>
      <w:pPr>
        <w:pStyle w:val="2"/>
        <w:keepNext w:val="0"/>
        <w:keepLines w:val="0"/>
        <w:pageBreakBefore w:val="0"/>
        <w:widowControl/>
        <w:kinsoku/>
        <w:wordWrap/>
        <w:overflowPunct/>
        <w:topLinePunct w:val="0"/>
        <w:autoSpaceDE/>
        <w:autoSpaceDN/>
        <w:bidi w:val="0"/>
        <w:adjustRightInd w:val="0"/>
        <w:snapToGrid w:val="0"/>
        <w:spacing w:line="520" w:lineRule="exact"/>
        <w:ind w:left="105" w:leftChars="50" w:firstLine="480" w:firstLineChars="150"/>
        <w:jc w:val="both"/>
        <w:textAlignment w:val="auto"/>
        <w:rPr>
          <w:rFonts w:ascii="Times New Roman" w:hAnsi="Times New Roman" w:eastAsia="仿宋_GB2312"/>
          <w:snapToGrid w:val="0"/>
          <w:kern w:val="0"/>
          <w:sz w:val="32"/>
          <w:szCs w:val="32"/>
        </w:rPr>
      </w:pPr>
      <w:r>
        <w:rPr>
          <w:rFonts w:hint="eastAsia" w:ascii="Times New Roman" w:hAnsi="Times New Roman" w:eastAsia="仿宋_GB2312"/>
          <w:snapToGrid w:val="0"/>
          <w:kern w:val="0"/>
          <w:sz w:val="32"/>
          <w:szCs w:val="32"/>
        </w:rPr>
        <w:t>1</w:t>
      </w:r>
      <w:r>
        <w:rPr>
          <w:rFonts w:ascii="Times New Roman" w:hAnsi="Times New Roman" w:eastAsia="仿宋_GB2312"/>
          <w:snapToGrid w:val="0"/>
          <w:kern w:val="0"/>
          <w:sz w:val="32"/>
          <w:szCs w:val="32"/>
        </w:rPr>
        <w:t>.2型号规格</w:t>
      </w:r>
    </w:p>
    <w:p>
      <w:pPr>
        <w:spacing w:line="520" w:lineRule="exact"/>
        <w:ind w:firstLine="640" w:firstLineChars="200"/>
        <w:rPr>
          <w:rFonts w:eastAsia="仿宋_GB2312"/>
          <w:snapToGrid w:val="0"/>
          <w:kern w:val="0"/>
          <w:sz w:val="32"/>
          <w:szCs w:val="32"/>
        </w:rPr>
      </w:pPr>
      <w:r>
        <w:rPr>
          <w:rFonts w:hint="eastAsia" w:eastAsia="仿宋_GB2312"/>
          <w:snapToGrid w:val="0"/>
          <w:kern w:val="0"/>
          <w:sz w:val="32"/>
          <w:szCs w:val="32"/>
        </w:rPr>
        <w:t>需明确申报产品的型号规格</w:t>
      </w:r>
      <w:r>
        <w:rPr>
          <w:rFonts w:hint="eastAsia" w:eastAsia="仿宋_GB2312"/>
          <w:snapToGrid w:val="0"/>
          <w:kern w:val="0"/>
          <w:sz w:val="32"/>
          <w:szCs w:val="32"/>
          <w:lang w:eastAsia="zh-CN"/>
        </w:rPr>
        <w:t>，</w:t>
      </w:r>
      <w:r>
        <w:rPr>
          <w:rFonts w:hint="eastAsia" w:eastAsia="仿宋_GB2312"/>
          <w:snapToGrid w:val="0"/>
          <w:kern w:val="0"/>
          <w:sz w:val="32"/>
          <w:szCs w:val="32"/>
        </w:rPr>
        <w:t>产品</w:t>
      </w:r>
      <w:r>
        <w:rPr>
          <w:rFonts w:eastAsia="仿宋_GB2312"/>
          <w:snapToGrid w:val="0"/>
          <w:kern w:val="0"/>
          <w:sz w:val="32"/>
          <w:szCs w:val="32"/>
        </w:rPr>
        <w:t>型号规格及其划分，</w:t>
      </w:r>
      <w:r>
        <w:rPr>
          <w:rFonts w:hint="eastAsia" w:eastAsia="仿宋_GB2312"/>
          <w:snapToGrid w:val="0"/>
          <w:kern w:val="0"/>
          <w:sz w:val="32"/>
          <w:szCs w:val="32"/>
        </w:rPr>
        <w:t>如同一个注册单元包含多个型号规格，需</w:t>
      </w:r>
      <w:r>
        <w:rPr>
          <w:rFonts w:eastAsia="仿宋_GB2312"/>
          <w:snapToGrid w:val="0"/>
          <w:kern w:val="0"/>
          <w:sz w:val="32"/>
          <w:szCs w:val="32"/>
        </w:rPr>
        <w:t>提供产品型号规格区分列表或配置表。</w:t>
      </w:r>
    </w:p>
    <w:p>
      <w:pPr>
        <w:numPr>
          <w:ilvl w:val="0"/>
          <w:numId w:val="1"/>
        </w:numPr>
        <w:spacing w:line="520" w:lineRule="exact"/>
        <w:ind w:firstLine="640" w:firstLineChars="200"/>
        <w:outlineLvl w:val="2"/>
        <w:rPr>
          <w:rFonts w:hint="eastAsia" w:eastAsia="仿宋_GB2312"/>
          <w:color w:val="000000"/>
          <w:sz w:val="32"/>
          <w:szCs w:val="32"/>
        </w:rPr>
      </w:pPr>
      <w:r>
        <w:rPr>
          <w:rFonts w:hint="eastAsia" w:eastAsia="仿宋_GB2312"/>
          <w:color w:val="000000"/>
          <w:sz w:val="32"/>
          <w:szCs w:val="32"/>
        </w:rPr>
        <w:t>适用范围和禁忌证</w:t>
      </w:r>
    </w:p>
    <w:p>
      <w:pPr>
        <w:widowControl w:val="0"/>
        <w:spacing w:line="520" w:lineRule="exact"/>
        <w:ind w:firstLine="640" w:firstLineChars="200"/>
        <w:rPr>
          <w:rFonts w:hint="eastAsia"/>
        </w:rPr>
      </w:pPr>
      <w:r>
        <w:rPr>
          <w:rFonts w:hint="eastAsia" w:ascii="Times New Roman" w:hAnsi="Times New Roman" w:eastAsia="仿宋_GB2312" w:cs="Times New Roman"/>
          <w:color w:val="auto"/>
          <w:sz w:val="32"/>
          <w:szCs w:val="32"/>
        </w:rPr>
        <w:t>产品的适用范围、适用人群、禁忌证需与申报产品的性能、功能相符，并需与临床评价资料结论一致。适用范围的描述需清晰准确。</w:t>
      </w:r>
    </w:p>
    <w:p>
      <w:pPr>
        <w:pStyle w:val="49"/>
        <w:overflowPunct w:val="0"/>
        <w:autoSpaceDE w:val="0"/>
        <w:autoSpaceDN w:val="0"/>
        <w:spacing w:line="520" w:lineRule="exact"/>
        <w:ind w:right="210" w:firstLine="640"/>
        <w:outlineLvl w:val="3"/>
        <w:rPr>
          <w:rFonts w:ascii="Times New Roman" w:hAnsi="Times New Roman" w:eastAsia="仿宋_GB2312"/>
          <w:snapToGrid w:val="0"/>
          <w:kern w:val="0"/>
          <w:sz w:val="32"/>
          <w:szCs w:val="32"/>
        </w:rPr>
      </w:pPr>
      <w:r>
        <w:rPr>
          <w:rFonts w:hint="eastAsia" w:ascii="Times New Roman" w:hAnsi="Times New Roman" w:eastAsia="仿宋_GB2312"/>
          <w:snapToGrid w:val="0"/>
          <w:kern w:val="0"/>
          <w:sz w:val="32"/>
          <w:szCs w:val="32"/>
        </w:rPr>
        <w:t>2.1</w:t>
      </w:r>
      <w:r>
        <w:rPr>
          <w:rFonts w:ascii="Times New Roman" w:hAnsi="Times New Roman" w:eastAsia="仿宋_GB2312"/>
          <w:snapToGrid w:val="0"/>
          <w:kern w:val="0"/>
          <w:sz w:val="32"/>
          <w:szCs w:val="32"/>
        </w:rPr>
        <w:t>适用范围</w:t>
      </w:r>
    </w:p>
    <w:p>
      <w:pPr>
        <w:widowControl w:val="0"/>
        <w:spacing w:line="52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例如：</w:t>
      </w:r>
      <w:r>
        <w:rPr>
          <w:rFonts w:hint="eastAsia" w:ascii="Times New Roman" w:hAnsi="Times New Roman" w:eastAsia="仿宋_GB2312" w:cs="Times New Roman"/>
          <w:color w:val="auto"/>
          <w:sz w:val="32"/>
          <w:szCs w:val="32"/>
        </w:rPr>
        <w:t>该产品以示波法测量人体舒张压、收缩压、脉率，其数值供诊断参考。</w:t>
      </w:r>
    </w:p>
    <w:p>
      <w:pPr>
        <w:widowControl w:val="0"/>
        <w:spacing w:line="52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2.2预期使用环境</w:t>
      </w:r>
    </w:p>
    <w:p>
      <w:pPr>
        <w:pStyle w:val="2"/>
        <w:keepNext w:val="0"/>
        <w:keepLines w:val="0"/>
        <w:pageBreakBefore w:val="0"/>
        <w:widowControl/>
        <w:kinsoku/>
        <w:wordWrap/>
        <w:overflowPunct/>
        <w:topLinePunct w:val="0"/>
        <w:autoSpaceDE/>
        <w:autoSpaceDN/>
        <w:bidi w:val="0"/>
        <w:adjustRightInd w:val="0"/>
        <w:snapToGrid w:val="0"/>
        <w:spacing w:line="520" w:lineRule="exact"/>
        <w:ind w:left="105" w:leftChars="50" w:firstLine="480" w:firstLineChars="150"/>
        <w:jc w:val="both"/>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需明确设备使用场所和使用环境要求。</w:t>
      </w:r>
    </w:p>
    <w:p>
      <w:pPr>
        <w:pStyle w:val="2"/>
        <w:keepNext w:val="0"/>
        <w:keepLines w:val="0"/>
        <w:pageBreakBefore w:val="0"/>
        <w:widowControl/>
        <w:kinsoku/>
        <w:wordWrap/>
        <w:overflowPunct/>
        <w:topLinePunct w:val="0"/>
        <w:autoSpaceDE/>
        <w:autoSpaceDN/>
        <w:bidi w:val="0"/>
        <w:adjustRightInd w:val="0"/>
        <w:snapToGrid w:val="0"/>
        <w:spacing w:line="520" w:lineRule="exact"/>
        <w:ind w:left="105" w:leftChars="50" w:firstLine="480" w:firstLineChars="150"/>
        <w:jc w:val="both"/>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设备使用场所包括：医疗机构、家用环境等。</w:t>
      </w:r>
    </w:p>
    <w:p>
      <w:pPr>
        <w:pStyle w:val="2"/>
        <w:keepNext w:val="0"/>
        <w:keepLines w:val="0"/>
        <w:pageBreakBefore w:val="0"/>
        <w:widowControl/>
        <w:kinsoku/>
        <w:wordWrap/>
        <w:overflowPunct/>
        <w:topLinePunct w:val="0"/>
        <w:autoSpaceDE/>
        <w:autoSpaceDN/>
        <w:bidi w:val="0"/>
        <w:adjustRightInd w:val="0"/>
        <w:snapToGrid w:val="0"/>
        <w:spacing w:line="520" w:lineRule="exact"/>
        <w:ind w:left="105" w:leftChars="50" w:firstLine="480" w:firstLineChars="150"/>
        <w:jc w:val="both"/>
        <w:textAlignment w:val="auto"/>
        <w:rPr>
          <w:rFonts w:hint="default" w:ascii="Times New Roman" w:hAnsi="Times New Roman" w:eastAsia="仿宋_GB2312" w:cs="Times New Roman"/>
          <w:color w:val="FF0000"/>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使用环境要求需至少包括：</w:t>
      </w:r>
      <w:r>
        <w:rPr>
          <w:rFonts w:hint="default" w:ascii="Times New Roman" w:hAnsi="Times New Roman" w:eastAsia="仿宋_GB2312" w:cs="Times New Roman"/>
          <w:color w:val="auto"/>
          <w:kern w:val="2"/>
          <w:sz w:val="32"/>
          <w:szCs w:val="32"/>
          <w:lang w:val="en-US" w:eastAsia="zh-CN" w:bidi="ar-SA"/>
        </w:rPr>
        <w:t>推荐的硬件使用的适宜温度、湿度</w:t>
      </w:r>
      <w:r>
        <w:rPr>
          <w:rFonts w:hint="eastAsia" w:ascii="Times New Roman" w:hAnsi="Times New Roman" w:eastAsia="仿宋_GB2312" w:cs="Times New Roman"/>
          <w:color w:val="auto"/>
          <w:kern w:val="2"/>
          <w:sz w:val="32"/>
          <w:szCs w:val="32"/>
          <w:lang w:val="en-US" w:eastAsia="zh-CN" w:bidi="ar-SA"/>
        </w:rPr>
        <w:t>。</w:t>
      </w:r>
    </w:p>
    <w:p>
      <w:pPr>
        <w:widowControl w:val="0"/>
        <w:spacing w:line="52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2.3适用人群</w:t>
      </w:r>
    </w:p>
    <w:p>
      <w:pPr>
        <w:widowControl w:val="0"/>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根据临床</w:t>
      </w:r>
      <w:r>
        <w:rPr>
          <w:rFonts w:hint="eastAsia" w:ascii="Times New Roman" w:hAnsi="Times New Roman" w:eastAsia="仿宋_GB2312" w:cs="Times New Roman"/>
          <w:sz w:val="32"/>
          <w:szCs w:val="32"/>
          <w:lang w:val="en-US" w:eastAsia="zh-CN"/>
        </w:rPr>
        <w:t>验证</w:t>
      </w:r>
      <w:r>
        <w:rPr>
          <w:rFonts w:hint="eastAsia" w:ascii="Times New Roman" w:hAnsi="Times New Roman" w:eastAsia="仿宋_GB2312" w:cs="Times New Roman"/>
          <w:sz w:val="32"/>
          <w:szCs w:val="32"/>
        </w:rPr>
        <w:t>资料，产品应明确适用的人群。如：适用于成人、小儿或新生儿。</w:t>
      </w:r>
    </w:p>
    <w:p>
      <w:pPr>
        <w:widowControl w:val="0"/>
        <w:spacing w:line="52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2.4</w:t>
      </w:r>
      <w:r>
        <w:rPr>
          <w:rFonts w:hint="eastAsia" w:ascii="Times New Roman" w:hAnsi="Times New Roman" w:eastAsia="仿宋_GB2312" w:cs="Times New Roman"/>
          <w:sz w:val="32"/>
          <w:szCs w:val="32"/>
        </w:rPr>
        <w:t>禁忌</w:t>
      </w:r>
      <w:r>
        <w:rPr>
          <w:rFonts w:hint="eastAsia" w:ascii="Times New Roman" w:hAnsi="Times New Roman" w:eastAsia="仿宋_GB2312" w:cs="Times New Roman"/>
          <w:sz w:val="32"/>
          <w:szCs w:val="32"/>
          <w:lang w:val="en-US" w:eastAsia="zh-CN"/>
        </w:rPr>
        <w:t>证</w:t>
      </w:r>
    </w:p>
    <w:p>
      <w:pPr>
        <w:widowControl w:val="0"/>
        <w:spacing w:line="52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描述产品的禁忌证（包括绝对禁忌证、相对禁忌证），如不适宜使用的人群、疾病等情形。</w:t>
      </w:r>
    </w:p>
    <w:p>
      <w:pPr>
        <w:widowControl w:val="0"/>
        <w:spacing w:line="52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3.包装说明</w:t>
      </w:r>
    </w:p>
    <w:p>
      <w:pPr>
        <w:widowControl w:val="0"/>
        <w:spacing w:line="52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提供产品的包装信息，可包括包装形式、包装材料、包装工艺等信息。</w:t>
      </w:r>
    </w:p>
    <w:p>
      <w:pPr>
        <w:overflowPunct w:val="0"/>
        <w:autoSpaceDE w:val="0"/>
        <w:autoSpaceDN w:val="0"/>
        <w:spacing w:line="520" w:lineRule="exact"/>
        <w:ind w:left="221" w:firstLine="200"/>
        <w:outlineLvl w:val="1"/>
        <w:rPr>
          <w:rFonts w:hint="eastAsia" w:eastAsia="楷体_GB2312"/>
          <w:color w:val="000000"/>
          <w:sz w:val="32"/>
          <w:szCs w:val="32"/>
        </w:rPr>
      </w:pPr>
      <w:bookmarkStart w:id="1" w:name="_Toc432753649"/>
      <w:r>
        <w:rPr>
          <w:rFonts w:hint="eastAsia" w:eastAsia="楷体_GB2312"/>
          <w:color w:val="000000"/>
          <w:sz w:val="32"/>
          <w:szCs w:val="32"/>
        </w:rPr>
        <w:t>（三）非</w:t>
      </w:r>
      <w:r>
        <w:rPr>
          <w:rFonts w:eastAsia="楷体_GB2312"/>
          <w:color w:val="000000"/>
          <w:sz w:val="32"/>
          <w:szCs w:val="32"/>
        </w:rPr>
        <w:t>临床</w:t>
      </w:r>
      <w:r>
        <w:rPr>
          <w:rFonts w:hint="eastAsia" w:eastAsia="楷体_GB2312"/>
          <w:color w:val="000000"/>
          <w:sz w:val="32"/>
          <w:szCs w:val="32"/>
        </w:rPr>
        <w:t>资料</w:t>
      </w:r>
    </w:p>
    <w:p>
      <w:pPr>
        <w:overflowPunct w:val="0"/>
        <w:autoSpaceDE w:val="0"/>
        <w:autoSpaceDN w:val="0"/>
        <w:spacing w:line="520" w:lineRule="exact"/>
        <w:ind w:firstLine="640" w:firstLineChars="200"/>
        <w:outlineLvl w:val="2"/>
        <w:rPr>
          <w:rFonts w:hint="eastAsia" w:eastAsia="仿宋_GB2312"/>
          <w:snapToGrid w:val="0"/>
          <w:kern w:val="0"/>
          <w:sz w:val="32"/>
          <w:szCs w:val="32"/>
        </w:rPr>
      </w:pPr>
      <w:r>
        <w:rPr>
          <w:rFonts w:hint="eastAsia" w:eastAsia="仿宋_GB2312"/>
          <w:snapToGrid w:val="0"/>
          <w:kern w:val="0"/>
          <w:sz w:val="32"/>
          <w:szCs w:val="32"/>
        </w:rPr>
        <w:t>1.产品风险</w:t>
      </w:r>
      <w:bookmarkEnd w:id="1"/>
      <w:r>
        <w:rPr>
          <w:rFonts w:hint="eastAsia" w:eastAsia="仿宋_GB2312"/>
          <w:snapToGrid w:val="0"/>
          <w:kern w:val="0"/>
          <w:sz w:val="32"/>
          <w:szCs w:val="32"/>
        </w:rPr>
        <w:t>管理资料</w:t>
      </w:r>
    </w:p>
    <w:p>
      <w:pPr>
        <w:overflowPunct w:val="0"/>
        <w:autoSpaceDE w:val="0"/>
        <w:autoSpaceDN w:val="0"/>
        <w:adjustRightInd w:val="0"/>
        <w:spacing w:line="520" w:lineRule="exact"/>
        <w:ind w:firstLine="640" w:firstLineChars="200"/>
        <w:rPr>
          <w:rFonts w:eastAsia="仿宋_GB2312"/>
          <w:snapToGrid w:val="0"/>
          <w:kern w:val="0"/>
          <w:sz w:val="32"/>
          <w:szCs w:val="32"/>
          <w:lang w:val="zh-CN"/>
        </w:rPr>
      </w:pPr>
      <w:r>
        <w:rPr>
          <w:rFonts w:eastAsia="仿宋_GB2312"/>
          <w:snapToGrid w:val="0"/>
          <w:kern w:val="0"/>
          <w:sz w:val="32"/>
          <w:szCs w:val="32"/>
        </w:rPr>
        <w:t>注册申请人需对产品全生命周期实施风险管理，依据</w:t>
      </w:r>
      <w:r>
        <w:rPr>
          <w:rFonts w:hint="eastAsia" w:eastAsia="仿宋_GB2312"/>
          <w:snapToGrid w:val="0"/>
          <w:kern w:val="0"/>
          <w:sz w:val="32"/>
          <w:szCs w:val="32"/>
        </w:rPr>
        <w:t>GB</w:t>
      </w:r>
      <w:r>
        <w:rPr>
          <w:rFonts w:eastAsia="仿宋_GB2312"/>
          <w:snapToGrid w:val="0"/>
          <w:kern w:val="0"/>
          <w:sz w:val="32"/>
          <w:szCs w:val="32"/>
        </w:rPr>
        <w:t xml:space="preserve">/T </w:t>
      </w:r>
      <w:r>
        <w:rPr>
          <w:rFonts w:hint="eastAsia" w:eastAsia="仿宋_GB2312"/>
          <w:snapToGrid w:val="0"/>
          <w:kern w:val="0"/>
          <w:sz w:val="32"/>
          <w:szCs w:val="32"/>
        </w:rPr>
        <w:t>42062</w:t>
      </w:r>
      <w:r>
        <w:rPr>
          <w:rFonts w:eastAsia="仿宋_GB2312"/>
          <w:snapToGrid w:val="0"/>
          <w:kern w:val="0"/>
          <w:sz w:val="32"/>
          <w:szCs w:val="32"/>
        </w:rPr>
        <w:t>《医疗器械风险管理对医疗器械的应用》</w:t>
      </w:r>
      <w:r>
        <w:rPr>
          <w:rFonts w:hint="eastAsia" w:eastAsia="仿宋_GB2312"/>
          <w:snapToGrid w:val="0"/>
          <w:kern w:val="0"/>
          <w:sz w:val="32"/>
          <w:szCs w:val="32"/>
        </w:rPr>
        <w:t>，</w:t>
      </w:r>
      <w:r>
        <w:rPr>
          <w:rFonts w:eastAsia="仿宋_GB2312"/>
          <w:snapToGrid w:val="0"/>
          <w:kern w:val="0"/>
          <w:sz w:val="32"/>
          <w:szCs w:val="32"/>
          <w:lang w:val="zh-CN"/>
        </w:rPr>
        <w:t>提供产品风险管理报告。</w:t>
      </w:r>
    </w:p>
    <w:p>
      <w:pPr>
        <w:overflowPunct w:val="0"/>
        <w:autoSpaceDE w:val="0"/>
        <w:autoSpaceDN w:val="0"/>
        <w:adjustRightInd w:val="0"/>
        <w:spacing w:line="520" w:lineRule="exact"/>
        <w:ind w:firstLine="640" w:firstLineChars="200"/>
        <w:rPr>
          <w:rFonts w:eastAsia="仿宋_GB2312"/>
          <w:snapToGrid w:val="0"/>
          <w:kern w:val="0"/>
          <w:sz w:val="32"/>
          <w:szCs w:val="32"/>
        </w:rPr>
      </w:pPr>
      <w:r>
        <w:rPr>
          <w:rFonts w:eastAsia="仿宋_GB2312"/>
          <w:snapToGrid w:val="0"/>
          <w:kern w:val="0"/>
          <w:sz w:val="32"/>
          <w:szCs w:val="32"/>
          <w:lang w:val="zh-CN"/>
        </w:rPr>
        <w:t>申请人</w:t>
      </w:r>
      <w:r>
        <w:rPr>
          <w:rFonts w:hint="eastAsia" w:eastAsia="仿宋_GB2312"/>
          <w:snapToGrid w:val="0"/>
          <w:kern w:val="0"/>
          <w:sz w:val="32"/>
          <w:szCs w:val="32"/>
          <w:lang w:val="zh-CN"/>
        </w:rPr>
        <w:t>需</w:t>
      </w:r>
      <w:r>
        <w:rPr>
          <w:rFonts w:eastAsia="仿宋_GB2312"/>
          <w:snapToGrid w:val="0"/>
          <w:kern w:val="0"/>
          <w:sz w:val="32"/>
          <w:szCs w:val="32"/>
          <w:lang w:val="zh-CN"/>
        </w:rPr>
        <w:t>重点说明：申报产品的研制阶段已对有关可能的危</w:t>
      </w:r>
      <w:r>
        <w:rPr>
          <w:rFonts w:hint="eastAsia" w:eastAsia="仿宋_GB2312"/>
          <w:snapToGrid w:val="0"/>
          <w:kern w:val="0"/>
          <w:sz w:val="32"/>
          <w:szCs w:val="32"/>
          <w:lang w:val="en-US" w:eastAsia="zh-CN"/>
        </w:rPr>
        <w:t>险</w:t>
      </w:r>
      <w:r>
        <w:rPr>
          <w:rFonts w:eastAsia="仿宋_GB2312"/>
          <w:snapToGrid w:val="0"/>
          <w:kern w:val="0"/>
          <w:sz w:val="32"/>
          <w:szCs w:val="32"/>
          <w:lang w:val="zh-CN"/>
        </w:rPr>
        <w:t>及产生的风险进行了估计和评价，针对性地实施了降低风险的技术和管理方面的措施。产品性能测试对上述措施的有效性进行了验证，达到了通用和专用标准的要求。申请人对所有剩余风险进行了评价，全部达到可接受的水平。产品风险分析资料</w:t>
      </w:r>
      <w:r>
        <w:rPr>
          <w:rFonts w:hint="eastAsia" w:eastAsia="仿宋_GB2312"/>
          <w:snapToGrid w:val="0"/>
          <w:kern w:val="0"/>
          <w:sz w:val="32"/>
          <w:szCs w:val="32"/>
          <w:lang w:val="zh-CN"/>
        </w:rPr>
        <w:t>需</w:t>
      </w:r>
      <w:r>
        <w:rPr>
          <w:rFonts w:eastAsia="仿宋_GB2312"/>
          <w:snapToGrid w:val="0"/>
          <w:kern w:val="0"/>
          <w:sz w:val="32"/>
          <w:szCs w:val="32"/>
          <w:lang w:val="zh-CN"/>
        </w:rPr>
        <w:t>为申请人关于产品安全性的承诺提供支持。</w:t>
      </w:r>
    </w:p>
    <w:p>
      <w:pPr>
        <w:overflowPunct w:val="0"/>
        <w:autoSpaceDE w:val="0"/>
        <w:autoSpaceDN w:val="0"/>
        <w:adjustRightInd w:val="0"/>
        <w:spacing w:line="520" w:lineRule="exact"/>
        <w:ind w:firstLine="640" w:firstLineChars="200"/>
        <w:rPr>
          <w:rFonts w:eastAsia="仿宋_GB2312"/>
          <w:snapToGrid w:val="0"/>
          <w:kern w:val="0"/>
          <w:sz w:val="32"/>
          <w:szCs w:val="32"/>
          <w:lang w:val="zh-CN"/>
        </w:rPr>
      </w:pPr>
      <w:r>
        <w:rPr>
          <w:rFonts w:eastAsia="仿宋_GB2312"/>
          <w:snapToGrid w:val="0"/>
          <w:kern w:val="0"/>
          <w:sz w:val="32"/>
          <w:szCs w:val="32"/>
          <w:lang w:val="zh-CN"/>
        </w:rPr>
        <w:t>风险管理报告一般包括以下内容：</w:t>
      </w:r>
    </w:p>
    <w:p>
      <w:pPr>
        <w:overflowPunct w:val="0"/>
        <w:autoSpaceDE w:val="0"/>
        <w:autoSpaceDN w:val="0"/>
        <w:adjustRightInd w:val="0"/>
        <w:spacing w:line="520" w:lineRule="exact"/>
        <w:ind w:firstLine="640" w:firstLineChars="200"/>
        <w:rPr>
          <w:rFonts w:eastAsia="仿宋_GB2312"/>
          <w:snapToGrid w:val="0"/>
          <w:kern w:val="0"/>
          <w:sz w:val="32"/>
          <w:szCs w:val="32"/>
          <w:lang w:val="zh-CN"/>
        </w:rPr>
      </w:pPr>
      <w:r>
        <w:rPr>
          <w:rFonts w:hint="eastAsia" w:eastAsia="仿宋_GB2312"/>
          <w:snapToGrid w:val="0"/>
          <w:kern w:val="0"/>
          <w:sz w:val="32"/>
          <w:szCs w:val="32"/>
        </w:rPr>
        <w:t>1.1</w:t>
      </w:r>
      <w:r>
        <w:rPr>
          <w:rFonts w:eastAsia="仿宋_GB2312"/>
          <w:snapToGrid w:val="0"/>
          <w:kern w:val="0"/>
          <w:sz w:val="32"/>
          <w:szCs w:val="32"/>
          <w:lang w:val="zh-CN"/>
        </w:rPr>
        <w:t>申报产品的风险管理组织。</w:t>
      </w:r>
    </w:p>
    <w:p>
      <w:pPr>
        <w:overflowPunct w:val="0"/>
        <w:autoSpaceDE w:val="0"/>
        <w:autoSpaceDN w:val="0"/>
        <w:adjustRightInd w:val="0"/>
        <w:spacing w:line="520" w:lineRule="exact"/>
        <w:ind w:firstLine="640" w:firstLineChars="200"/>
        <w:rPr>
          <w:rFonts w:eastAsia="仿宋_GB2312"/>
          <w:snapToGrid w:val="0"/>
          <w:kern w:val="0"/>
          <w:sz w:val="32"/>
          <w:szCs w:val="32"/>
          <w:lang w:val="zh-CN"/>
        </w:rPr>
      </w:pPr>
      <w:r>
        <w:rPr>
          <w:rFonts w:hint="eastAsia" w:eastAsia="仿宋_GB2312"/>
          <w:snapToGrid w:val="0"/>
          <w:kern w:val="0"/>
          <w:sz w:val="32"/>
          <w:szCs w:val="32"/>
        </w:rPr>
        <w:t>1.2</w:t>
      </w:r>
      <w:r>
        <w:rPr>
          <w:rFonts w:eastAsia="仿宋_GB2312"/>
          <w:snapToGrid w:val="0"/>
          <w:kern w:val="0"/>
          <w:sz w:val="32"/>
          <w:szCs w:val="32"/>
          <w:lang w:val="zh-CN"/>
        </w:rPr>
        <w:t>申报产品的组成。</w:t>
      </w:r>
    </w:p>
    <w:p>
      <w:pPr>
        <w:overflowPunct w:val="0"/>
        <w:autoSpaceDE w:val="0"/>
        <w:autoSpaceDN w:val="0"/>
        <w:adjustRightInd w:val="0"/>
        <w:spacing w:line="520" w:lineRule="exact"/>
        <w:ind w:firstLine="640" w:firstLineChars="200"/>
        <w:rPr>
          <w:rFonts w:eastAsia="仿宋_GB2312"/>
          <w:snapToGrid w:val="0"/>
          <w:kern w:val="0"/>
          <w:sz w:val="32"/>
          <w:szCs w:val="32"/>
          <w:lang w:val="zh-CN"/>
        </w:rPr>
      </w:pPr>
      <w:r>
        <w:rPr>
          <w:rFonts w:hint="eastAsia" w:eastAsia="仿宋_GB2312"/>
          <w:snapToGrid w:val="0"/>
          <w:kern w:val="0"/>
          <w:sz w:val="32"/>
          <w:szCs w:val="32"/>
        </w:rPr>
        <w:t>1.3</w:t>
      </w:r>
      <w:r>
        <w:rPr>
          <w:rFonts w:eastAsia="仿宋_GB2312"/>
          <w:snapToGrid w:val="0"/>
          <w:kern w:val="0"/>
          <w:sz w:val="32"/>
          <w:szCs w:val="32"/>
          <w:lang w:val="zh-CN"/>
        </w:rPr>
        <w:t>申报产品符合的安全标准。</w:t>
      </w:r>
    </w:p>
    <w:p>
      <w:pPr>
        <w:overflowPunct w:val="0"/>
        <w:autoSpaceDE w:val="0"/>
        <w:autoSpaceDN w:val="0"/>
        <w:adjustRightInd w:val="0"/>
        <w:spacing w:line="520" w:lineRule="exact"/>
        <w:ind w:firstLine="640" w:firstLineChars="200"/>
        <w:rPr>
          <w:rFonts w:eastAsia="仿宋_GB2312"/>
          <w:snapToGrid w:val="0"/>
          <w:kern w:val="0"/>
          <w:sz w:val="32"/>
          <w:szCs w:val="32"/>
          <w:lang w:val="zh-CN"/>
        </w:rPr>
      </w:pPr>
      <w:r>
        <w:rPr>
          <w:rFonts w:hint="eastAsia" w:eastAsia="仿宋_GB2312"/>
          <w:snapToGrid w:val="0"/>
          <w:kern w:val="0"/>
          <w:sz w:val="32"/>
          <w:szCs w:val="32"/>
        </w:rPr>
        <w:t>1.4</w:t>
      </w:r>
      <w:r>
        <w:rPr>
          <w:rFonts w:eastAsia="仿宋_GB2312"/>
          <w:snapToGrid w:val="0"/>
          <w:kern w:val="0"/>
          <w:sz w:val="32"/>
          <w:szCs w:val="32"/>
          <w:lang w:val="zh-CN"/>
        </w:rPr>
        <w:t>申报产品的预期用途，与安全性有关的特征的判定。</w:t>
      </w:r>
    </w:p>
    <w:p>
      <w:pPr>
        <w:overflowPunct w:val="0"/>
        <w:autoSpaceDE w:val="0"/>
        <w:autoSpaceDN w:val="0"/>
        <w:adjustRightInd w:val="0"/>
        <w:spacing w:line="520" w:lineRule="exact"/>
        <w:ind w:firstLine="640" w:firstLineChars="200"/>
        <w:rPr>
          <w:rFonts w:eastAsia="仿宋_GB2312"/>
          <w:snapToGrid w:val="0"/>
          <w:kern w:val="0"/>
          <w:sz w:val="32"/>
          <w:szCs w:val="32"/>
          <w:lang w:val="zh-CN"/>
        </w:rPr>
      </w:pPr>
      <w:r>
        <w:rPr>
          <w:rFonts w:hint="eastAsia" w:eastAsia="仿宋_GB2312"/>
          <w:snapToGrid w:val="0"/>
          <w:kern w:val="0"/>
          <w:sz w:val="32"/>
          <w:szCs w:val="32"/>
        </w:rPr>
        <w:t>1.5</w:t>
      </w:r>
      <w:r>
        <w:rPr>
          <w:rFonts w:eastAsia="仿宋_GB2312"/>
          <w:snapToGrid w:val="0"/>
          <w:kern w:val="0"/>
          <w:sz w:val="32"/>
          <w:szCs w:val="32"/>
          <w:lang w:val="zh-CN"/>
        </w:rPr>
        <w:t>对申报产品的可能危</w:t>
      </w:r>
      <w:r>
        <w:rPr>
          <w:rFonts w:hint="eastAsia" w:eastAsia="仿宋_GB2312"/>
          <w:snapToGrid w:val="0"/>
          <w:kern w:val="0"/>
          <w:sz w:val="32"/>
          <w:szCs w:val="32"/>
          <w:lang w:val="en-US" w:eastAsia="zh-CN"/>
        </w:rPr>
        <w:t>险</w:t>
      </w:r>
      <w:r>
        <w:rPr>
          <w:rFonts w:eastAsia="仿宋_GB2312"/>
          <w:snapToGrid w:val="0"/>
          <w:kern w:val="0"/>
          <w:sz w:val="32"/>
          <w:szCs w:val="32"/>
          <w:lang w:val="zh-CN"/>
        </w:rPr>
        <w:t>作出判定</w:t>
      </w:r>
      <w:r>
        <w:rPr>
          <w:rFonts w:hint="eastAsia" w:eastAsia="仿宋_GB2312"/>
          <w:snapToGrid w:val="0"/>
          <w:kern w:val="0"/>
          <w:sz w:val="32"/>
          <w:szCs w:val="32"/>
          <w:lang w:val="zh-CN"/>
        </w:rPr>
        <w:t>（</w:t>
      </w:r>
      <w:r>
        <w:rPr>
          <w:rFonts w:eastAsia="仿宋_GB2312"/>
          <w:snapToGrid w:val="0"/>
          <w:kern w:val="0"/>
          <w:sz w:val="32"/>
          <w:szCs w:val="32"/>
          <w:lang w:val="zh-CN"/>
        </w:rPr>
        <w:t>见附</w:t>
      </w:r>
      <w:r>
        <w:rPr>
          <w:rFonts w:hint="eastAsia" w:eastAsia="仿宋_GB2312"/>
          <w:snapToGrid w:val="0"/>
          <w:kern w:val="0"/>
          <w:sz w:val="32"/>
          <w:szCs w:val="32"/>
          <w:lang w:val="zh-CN"/>
        </w:rPr>
        <w:t>件1）</w:t>
      </w:r>
      <w:r>
        <w:rPr>
          <w:rFonts w:eastAsia="仿宋_GB2312"/>
          <w:snapToGrid w:val="0"/>
          <w:kern w:val="0"/>
          <w:sz w:val="32"/>
          <w:szCs w:val="32"/>
          <w:lang w:val="zh-CN"/>
        </w:rPr>
        <w:t>。</w:t>
      </w:r>
    </w:p>
    <w:p>
      <w:pPr>
        <w:overflowPunct w:val="0"/>
        <w:autoSpaceDE w:val="0"/>
        <w:autoSpaceDN w:val="0"/>
        <w:adjustRightInd w:val="0"/>
        <w:spacing w:line="520" w:lineRule="exact"/>
        <w:ind w:firstLine="640" w:firstLineChars="200"/>
        <w:rPr>
          <w:rFonts w:eastAsia="仿宋_GB2312"/>
          <w:snapToGrid w:val="0"/>
          <w:kern w:val="0"/>
          <w:sz w:val="32"/>
          <w:szCs w:val="32"/>
          <w:lang w:val="zh-CN"/>
        </w:rPr>
      </w:pPr>
      <w:r>
        <w:rPr>
          <w:rFonts w:hint="eastAsia" w:eastAsia="仿宋_GB2312"/>
          <w:snapToGrid w:val="0"/>
          <w:kern w:val="0"/>
          <w:sz w:val="32"/>
          <w:szCs w:val="32"/>
        </w:rPr>
        <w:t>1.6</w:t>
      </w:r>
      <w:r>
        <w:rPr>
          <w:rFonts w:eastAsia="仿宋_GB2312"/>
          <w:snapToGrid w:val="0"/>
          <w:kern w:val="0"/>
          <w:sz w:val="32"/>
          <w:szCs w:val="32"/>
          <w:lang w:val="zh-CN"/>
        </w:rPr>
        <w:t>对所判定的危</w:t>
      </w:r>
      <w:r>
        <w:rPr>
          <w:rFonts w:hint="eastAsia" w:eastAsia="仿宋_GB2312"/>
          <w:snapToGrid w:val="0"/>
          <w:kern w:val="0"/>
          <w:sz w:val="32"/>
          <w:szCs w:val="32"/>
          <w:lang w:val="en-US" w:eastAsia="zh-CN"/>
        </w:rPr>
        <w:t>险</w:t>
      </w:r>
      <w:r>
        <w:rPr>
          <w:rFonts w:eastAsia="仿宋_GB2312"/>
          <w:snapToGrid w:val="0"/>
          <w:kern w:val="0"/>
          <w:sz w:val="32"/>
          <w:szCs w:val="32"/>
          <w:lang w:val="zh-CN"/>
        </w:rPr>
        <w:t>采取的降低风险的控制措施</w:t>
      </w:r>
      <w:r>
        <w:rPr>
          <w:rFonts w:hint="eastAsia" w:eastAsia="仿宋_GB2312"/>
          <w:snapToGrid w:val="0"/>
          <w:kern w:val="0"/>
          <w:sz w:val="32"/>
          <w:szCs w:val="32"/>
          <w:lang w:val="zh-CN"/>
        </w:rPr>
        <w:t>。</w:t>
      </w:r>
    </w:p>
    <w:p>
      <w:pPr>
        <w:overflowPunct w:val="0"/>
        <w:autoSpaceDE w:val="0"/>
        <w:autoSpaceDN w:val="0"/>
        <w:adjustRightInd w:val="0"/>
        <w:spacing w:line="520" w:lineRule="exact"/>
        <w:ind w:firstLine="640" w:firstLineChars="200"/>
      </w:pPr>
      <w:r>
        <w:rPr>
          <w:rFonts w:hint="eastAsia" w:eastAsia="仿宋_GB2312"/>
          <w:snapToGrid w:val="0"/>
          <w:kern w:val="0"/>
          <w:sz w:val="32"/>
          <w:szCs w:val="32"/>
        </w:rPr>
        <w:t>1.7</w:t>
      </w:r>
      <w:r>
        <w:rPr>
          <w:rFonts w:eastAsia="仿宋_GB2312"/>
          <w:snapToGrid w:val="0"/>
          <w:kern w:val="0"/>
          <w:sz w:val="32"/>
          <w:szCs w:val="32"/>
          <w:lang w:val="zh-CN"/>
        </w:rPr>
        <w:t>对采取控制措施后的剩余风险进行估计和评价</w:t>
      </w:r>
      <w:r>
        <w:rPr>
          <w:rFonts w:hint="eastAsia"/>
        </w:rPr>
        <w:t>。</w:t>
      </w:r>
    </w:p>
    <w:p>
      <w:pPr>
        <w:overflowPunct w:val="0"/>
        <w:autoSpaceDE w:val="0"/>
        <w:autoSpaceDN w:val="0"/>
        <w:spacing w:line="520" w:lineRule="exact"/>
        <w:ind w:firstLine="640" w:firstLineChars="200"/>
        <w:outlineLvl w:val="2"/>
        <w:rPr>
          <w:rFonts w:hint="eastAsia" w:eastAsia="仿宋_GB2312" w:cs="仿宋_GB2312"/>
          <w:snapToGrid w:val="0"/>
          <w:kern w:val="0"/>
          <w:sz w:val="32"/>
          <w:szCs w:val="32"/>
        </w:rPr>
      </w:pPr>
      <w:bookmarkStart w:id="2" w:name="_Toc432753650"/>
      <w:r>
        <w:rPr>
          <w:rFonts w:hint="eastAsia" w:eastAsia="仿宋"/>
          <w:sz w:val="32"/>
          <w:szCs w:val="32"/>
        </w:rPr>
        <w:t>2.</w:t>
      </w:r>
      <w:r>
        <w:rPr>
          <w:rFonts w:hint="eastAsia" w:eastAsia="仿宋_GB2312" w:cs="仿宋_GB2312"/>
          <w:snapToGrid w:val="0"/>
          <w:kern w:val="0"/>
          <w:sz w:val="32"/>
          <w:szCs w:val="32"/>
        </w:rPr>
        <w:t>产品技术要求</w:t>
      </w:r>
      <w:bookmarkEnd w:id="2"/>
      <w:r>
        <w:rPr>
          <w:rFonts w:hint="eastAsia" w:eastAsia="仿宋_GB2312" w:cs="仿宋_GB2312"/>
          <w:snapToGrid w:val="0"/>
          <w:kern w:val="0"/>
          <w:sz w:val="32"/>
          <w:szCs w:val="32"/>
        </w:rPr>
        <w:t>及</w:t>
      </w:r>
      <w:r>
        <w:rPr>
          <w:rFonts w:eastAsia="仿宋_GB2312" w:cs="仿宋_GB2312"/>
          <w:snapToGrid w:val="0"/>
          <w:kern w:val="0"/>
          <w:sz w:val="32"/>
          <w:szCs w:val="32"/>
        </w:rPr>
        <w:t>检</w:t>
      </w:r>
      <w:r>
        <w:rPr>
          <w:rFonts w:hint="eastAsia" w:eastAsia="仿宋_GB2312" w:cs="仿宋_GB2312"/>
          <w:snapToGrid w:val="0"/>
          <w:kern w:val="0"/>
          <w:sz w:val="32"/>
          <w:szCs w:val="32"/>
        </w:rPr>
        <w:t>验</w:t>
      </w:r>
      <w:r>
        <w:rPr>
          <w:rFonts w:eastAsia="仿宋_GB2312" w:cs="仿宋_GB2312"/>
          <w:snapToGrid w:val="0"/>
          <w:kern w:val="0"/>
          <w:sz w:val="32"/>
          <w:szCs w:val="32"/>
        </w:rPr>
        <w:t>报告</w:t>
      </w:r>
    </w:p>
    <w:p>
      <w:pPr>
        <w:overflowPunct w:val="0"/>
        <w:autoSpaceDE w:val="0"/>
        <w:autoSpaceDN w:val="0"/>
        <w:spacing w:line="520" w:lineRule="exact"/>
        <w:ind w:firstLine="640" w:firstLineChars="200"/>
        <w:outlineLvl w:val="3"/>
        <w:rPr>
          <w:rFonts w:eastAsia="仿宋_GB2312"/>
          <w:snapToGrid w:val="0"/>
          <w:kern w:val="0"/>
          <w:sz w:val="32"/>
          <w:szCs w:val="32"/>
        </w:rPr>
      </w:pPr>
      <w:r>
        <w:rPr>
          <w:rFonts w:hint="eastAsia" w:eastAsia="仿宋_GB2312"/>
          <w:snapToGrid w:val="0"/>
          <w:kern w:val="0"/>
          <w:sz w:val="32"/>
          <w:szCs w:val="32"/>
        </w:rPr>
        <w:t>2.1</w:t>
      </w:r>
      <w:r>
        <w:rPr>
          <w:rFonts w:eastAsia="仿宋_GB2312"/>
          <w:snapToGrid w:val="0"/>
          <w:kern w:val="0"/>
          <w:sz w:val="32"/>
          <w:szCs w:val="32"/>
        </w:rPr>
        <w:t>产品技术要求</w:t>
      </w:r>
    </w:p>
    <w:p>
      <w:pPr>
        <w:overflowPunct w:val="0"/>
        <w:autoSpaceDE w:val="0"/>
        <w:autoSpaceDN w:val="0"/>
        <w:spacing w:line="520" w:lineRule="exact"/>
        <w:ind w:firstLine="640" w:firstLineChars="200"/>
        <w:rPr>
          <w:rFonts w:eastAsia="仿宋_GB2312"/>
          <w:snapToGrid w:val="0"/>
          <w:kern w:val="0"/>
          <w:sz w:val="32"/>
          <w:szCs w:val="32"/>
        </w:rPr>
      </w:pPr>
      <w:r>
        <w:rPr>
          <w:rFonts w:hint="eastAsia" w:eastAsia="仿宋_GB2312"/>
          <w:snapToGrid w:val="0"/>
          <w:kern w:val="0"/>
          <w:sz w:val="32"/>
          <w:szCs w:val="32"/>
        </w:rPr>
        <w:t>依据</w:t>
      </w:r>
      <w:r>
        <w:rPr>
          <w:rFonts w:eastAsia="仿宋_GB2312"/>
          <w:snapToGrid w:val="0"/>
          <w:kern w:val="0"/>
          <w:sz w:val="32"/>
          <w:szCs w:val="32"/>
        </w:rPr>
        <w:t>《医疗器械产品技术要求编写指导原则》进行编制。</w:t>
      </w:r>
    </w:p>
    <w:p>
      <w:pPr>
        <w:overflowPunct w:val="0"/>
        <w:autoSpaceDE w:val="0"/>
        <w:autoSpaceDN w:val="0"/>
        <w:adjustRightInd w:val="0"/>
        <w:spacing w:line="520" w:lineRule="exact"/>
        <w:ind w:firstLine="640" w:firstLineChars="200"/>
        <w:rPr>
          <w:rFonts w:hint="eastAsia" w:ascii="Times New Roman" w:hAnsi="Times New Roman" w:eastAsia="仿宋_GB2312"/>
          <w:sz w:val="32"/>
          <w:szCs w:val="32"/>
        </w:rPr>
      </w:pPr>
      <w:r>
        <w:rPr>
          <w:rFonts w:hint="eastAsia" w:ascii="Times New Roman" w:hAnsi="Times New Roman" w:eastAsia="仿宋_GB2312"/>
          <w:sz w:val="32"/>
          <w:szCs w:val="32"/>
        </w:rPr>
        <w:t>本条款给出电子血压计产品需要满足的主要技术指标，企业可参考相应的国家标准、行业标准，根据企业自身产品的技术特点制定相应的要求，但不得低于相关强制性国家标准、行业标准的要求。</w:t>
      </w:r>
      <w:r>
        <w:rPr>
          <w:rFonts w:ascii="Times New Roman" w:hAnsi="Times New Roman" w:eastAsia="仿宋_GB2312" w:cs="Times New Roman"/>
          <w:snapToGrid w:val="0"/>
          <w:kern w:val="0"/>
          <w:sz w:val="32"/>
          <w:szCs w:val="32"/>
          <w:lang w:val="zh-CN"/>
        </w:rPr>
        <w:t>产品技术要求中试验方法需依据有关国家标准、行业标准、国际标准制订，或经过验证。</w:t>
      </w:r>
      <w:r>
        <w:rPr>
          <w:rFonts w:hint="eastAsia" w:ascii="Times New Roman" w:hAnsi="Times New Roman" w:eastAsia="仿宋_GB2312"/>
          <w:sz w:val="32"/>
          <w:szCs w:val="32"/>
        </w:rPr>
        <w:t>如有不适用条款（包括国家标准、行业标准要求），企业在研究资料的产品性能研究中必须说明理由。</w:t>
      </w:r>
    </w:p>
    <w:p>
      <w:pPr>
        <w:overflowPunct w:val="0"/>
        <w:autoSpaceDE w:val="0"/>
        <w:autoSpaceDN w:val="0"/>
        <w:adjustRightInd w:val="0"/>
        <w:spacing w:line="520" w:lineRule="exact"/>
        <w:ind w:firstLine="640" w:firstLineChars="200"/>
        <w:rPr>
          <w:rFonts w:hint="eastAsia" w:ascii="Times New Roman" w:hAnsi="Times New Roman" w:eastAsia="仿宋_GB2312"/>
          <w:sz w:val="32"/>
          <w:szCs w:val="32"/>
        </w:rPr>
      </w:pPr>
      <w:r>
        <w:rPr>
          <w:rFonts w:hint="eastAsia" w:ascii="Times New Roman" w:hAnsi="Times New Roman" w:eastAsia="仿宋_GB2312"/>
          <w:sz w:val="32"/>
          <w:szCs w:val="32"/>
        </w:rPr>
        <w:t>2.1</w:t>
      </w:r>
      <w:r>
        <w:rPr>
          <w:rFonts w:hint="eastAsia" w:eastAsia="仿宋_GB2312"/>
          <w:sz w:val="32"/>
          <w:szCs w:val="32"/>
          <w:lang w:val="en-US" w:eastAsia="zh-CN"/>
        </w:rPr>
        <w:t>.1</w:t>
      </w:r>
      <w:r>
        <w:rPr>
          <w:rFonts w:hint="eastAsia" w:ascii="Times New Roman" w:hAnsi="Times New Roman" w:eastAsia="仿宋_GB2312"/>
          <w:sz w:val="32"/>
          <w:szCs w:val="32"/>
        </w:rPr>
        <w:t>产品型号/规格及其划分的说明</w:t>
      </w:r>
    </w:p>
    <w:p>
      <w:pPr>
        <w:overflowPunct w:val="0"/>
        <w:autoSpaceDE w:val="0"/>
        <w:autoSpaceDN w:val="0"/>
        <w:adjustRightInd w:val="0"/>
        <w:spacing w:line="520" w:lineRule="exact"/>
        <w:ind w:firstLine="640" w:firstLineChars="200"/>
        <w:rPr>
          <w:rFonts w:hint="eastAsia" w:ascii="Times New Roman" w:hAnsi="Times New Roman" w:eastAsia="仿宋_GB2312"/>
          <w:sz w:val="32"/>
          <w:szCs w:val="32"/>
          <w:lang w:val="en-US" w:eastAsia="zh-CN"/>
        </w:rPr>
      </w:pPr>
      <w:r>
        <w:rPr>
          <w:rFonts w:hint="eastAsia" w:ascii="Times New Roman" w:hAnsi="Times New Roman" w:eastAsia="仿宋_GB2312"/>
          <w:sz w:val="32"/>
          <w:szCs w:val="32"/>
          <w:lang w:val="en-US" w:eastAsia="zh-CN"/>
        </w:rPr>
        <w:t>说明产品的型号、规格，明确产品型号、规格的划分说明。</w:t>
      </w:r>
    </w:p>
    <w:p>
      <w:pPr>
        <w:overflowPunct w:val="0"/>
        <w:autoSpaceDE w:val="0"/>
        <w:autoSpaceDN w:val="0"/>
        <w:adjustRightInd w:val="0"/>
        <w:spacing w:line="520" w:lineRule="exact"/>
        <w:ind w:firstLine="640" w:firstLineChars="200"/>
        <w:rPr>
          <w:rFonts w:hint="eastAsia" w:ascii="Times New Roman" w:hAnsi="Times New Roman" w:eastAsia="仿宋_GB2312"/>
          <w:sz w:val="32"/>
          <w:szCs w:val="32"/>
          <w:lang w:val="en-US" w:eastAsia="zh-CN"/>
        </w:rPr>
      </w:pPr>
      <w:r>
        <w:rPr>
          <w:rFonts w:hint="eastAsia" w:ascii="Times New Roman" w:hAnsi="Times New Roman" w:eastAsia="仿宋_GB2312"/>
          <w:sz w:val="32"/>
          <w:szCs w:val="32"/>
          <w:lang w:val="en-US" w:eastAsia="zh-CN"/>
        </w:rPr>
        <w:t>2.</w:t>
      </w:r>
      <w:r>
        <w:rPr>
          <w:rFonts w:hint="eastAsia" w:eastAsia="仿宋_GB2312"/>
          <w:sz w:val="32"/>
          <w:szCs w:val="32"/>
          <w:lang w:val="en-US" w:eastAsia="zh-CN"/>
        </w:rPr>
        <w:t>1.</w:t>
      </w:r>
      <w:r>
        <w:rPr>
          <w:rFonts w:hint="eastAsia" w:ascii="Times New Roman" w:hAnsi="Times New Roman" w:eastAsia="仿宋_GB2312"/>
          <w:sz w:val="32"/>
          <w:szCs w:val="32"/>
          <w:lang w:val="en-US" w:eastAsia="zh-CN"/>
        </w:rPr>
        <w:t>2软件信息</w:t>
      </w:r>
    </w:p>
    <w:p>
      <w:pPr>
        <w:overflowPunct w:val="0"/>
        <w:autoSpaceDE w:val="0"/>
        <w:autoSpaceDN w:val="0"/>
        <w:adjustRightInd w:val="0"/>
        <w:spacing w:line="520" w:lineRule="exact"/>
        <w:ind w:firstLine="640" w:firstLineChars="200"/>
        <w:rPr>
          <w:rFonts w:hint="eastAsia" w:ascii="Times New Roman" w:hAnsi="Times New Roman" w:eastAsia="仿宋_GB2312"/>
          <w:color w:val="auto"/>
          <w:sz w:val="32"/>
          <w:szCs w:val="32"/>
          <w:lang w:val="en-US" w:eastAsia="zh-CN"/>
        </w:rPr>
      </w:pPr>
      <w:r>
        <w:rPr>
          <w:rFonts w:hint="eastAsia" w:ascii="Times New Roman" w:hAnsi="Times New Roman" w:eastAsia="仿宋_GB2312"/>
          <w:color w:val="auto"/>
          <w:sz w:val="32"/>
          <w:szCs w:val="32"/>
          <w:lang w:val="en-US" w:eastAsia="zh-CN"/>
        </w:rPr>
        <w:t>说明内嵌式软件或APP端软件（如有）的软件名称、型号、发布版本和版本命名规则。</w:t>
      </w:r>
    </w:p>
    <w:p>
      <w:pPr>
        <w:overflowPunct w:val="0"/>
        <w:autoSpaceDE w:val="0"/>
        <w:autoSpaceDN w:val="0"/>
        <w:adjustRightInd w:val="0"/>
        <w:spacing w:line="520" w:lineRule="exact"/>
        <w:ind w:firstLine="640" w:firstLineChars="200"/>
        <w:rPr>
          <w:rFonts w:hint="default" w:ascii="Times New Roman" w:hAnsi="Times New Roman" w:eastAsia="仿宋_GB2312"/>
          <w:sz w:val="32"/>
          <w:szCs w:val="32"/>
          <w:lang w:val="en-US" w:eastAsia="zh-CN"/>
        </w:rPr>
      </w:pPr>
      <w:r>
        <w:rPr>
          <w:rFonts w:hint="eastAsia" w:ascii="Times New Roman" w:hAnsi="Times New Roman" w:eastAsia="仿宋_GB2312"/>
          <w:sz w:val="32"/>
          <w:szCs w:val="32"/>
          <w:lang w:val="en-US" w:eastAsia="zh-CN"/>
        </w:rPr>
        <w:t>2.2性能指标</w:t>
      </w:r>
    </w:p>
    <w:p>
      <w:pPr>
        <w:pStyle w:val="61"/>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产品性能应不低于YY 0670-2008或YY 9706.230-2023中规定的要求。如产品包含软件，性能指标中还应包含软件核心功能、</w:t>
      </w:r>
      <w:r>
        <w:rPr>
          <w:rFonts w:hint="eastAsia" w:eastAsia="仿宋_GB2312"/>
          <w:color w:val="000000"/>
          <w:sz w:val="32"/>
          <w:szCs w:val="32"/>
          <w:lang w:val="en-US" w:eastAsia="zh-CN"/>
        </w:rPr>
        <w:t>运行环境、</w:t>
      </w:r>
      <w:r>
        <w:rPr>
          <w:rFonts w:eastAsia="仿宋_GB2312"/>
          <w:color w:val="000000"/>
          <w:sz w:val="32"/>
          <w:szCs w:val="32"/>
        </w:rPr>
        <w:t>接口</w:t>
      </w:r>
      <w:r>
        <w:rPr>
          <w:rFonts w:hint="eastAsia" w:eastAsia="仿宋_GB2312"/>
          <w:color w:val="000000"/>
          <w:sz w:val="32"/>
          <w:szCs w:val="32"/>
          <w:lang w:eastAsia="zh-CN"/>
        </w:rPr>
        <w:t>、</w:t>
      </w:r>
      <w:r>
        <w:rPr>
          <w:rFonts w:eastAsia="仿宋_GB2312"/>
          <w:color w:val="000000"/>
          <w:sz w:val="32"/>
          <w:szCs w:val="32"/>
        </w:rPr>
        <w:t>访问控制</w:t>
      </w:r>
      <w:r>
        <w:rPr>
          <w:rFonts w:hint="eastAsia" w:eastAsia="仿宋_GB2312"/>
          <w:color w:val="000000"/>
          <w:sz w:val="32"/>
          <w:szCs w:val="32"/>
          <w:lang w:eastAsia="zh-CN"/>
        </w:rPr>
        <w:t>、</w:t>
      </w:r>
      <w:r>
        <w:rPr>
          <w:rFonts w:hint="eastAsia" w:eastAsia="仿宋_GB2312"/>
          <w:color w:val="000000"/>
          <w:sz w:val="32"/>
          <w:szCs w:val="32"/>
          <w:lang w:val="en-US" w:eastAsia="zh-CN"/>
        </w:rPr>
        <w:t>运行效率（如适用）等要</w:t>
      </w:r>
      <w:r>
        <w:rPr>
          <w:rFonts w:eastAsia="仿宋_GB2312"/>
          <w:color w:val="000000"/>
          <w:sz w:val="32"/>
          <w:szCs w:val="32"/>
        </w:rPr>
        <w:t>求</w:t>
      </w:r>
      <w:r>
        <w:rPr>
          <w:rFonts w:hint="eastAsia" w:eastAsia="仿宋_GB2312"/>
          <w:color w:val="000000"/>
          <w:sz w:val="32"/>
          <w:szCs w:val="32"/>
          <w:lang w:eastAsia="zh-CN"/>
        </w:rPr>
        <w:t>。</w:t>
      </w:r>
    </w:p>
    <w:p>
      <w:pPr>
        <w:pStyle w:val="61"/>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Times New Roman" w:hAnsi="Times New Roman" w:eastAsia="仿宋_GB2312" w:cs="Times New Roman"/>
          <w:kern w:val="2"/>
          <w:sz w:val="32"/>
          <w:szCs w:val="32"/>
          <w:lang w:val="zh-CN" w:eastAsia="zh-CN" w:bidi="ar-SA"/>
        </w:rPr>
      </w:pPr>
      <w:r>
        <w:rPr>
          <w:rFonts w:hint="eastAsia" w:ascii="Times New Roman" w:hAnsi="Times New Roman" w:eastAsia="仿宋_GB2312" w:cs="Times New Roman"/>
          <w:kern w:val="2"/>
          <w:sz w:val="32"/>
          <w:szCs w:val="32"/>
          <w:lang w:val="en-US" w:eastAsia="zh-CN" w:bidi="ar-SA"/>
        </w:rPr>
        <w:t>电气安全应满足GB 9706.1-2007的要求或GB 9706.1-2020及专用标准YY 9706.230-2023的要求。如适用于家用环境，还需满足YY 9706.111-2021的要求。</w:t>
      </w:r>
    </w:p>
    <w:p>
      <w:pPr>
        <w:pStyle w:val="61"/>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电磁兼容应满足YY 0505-2012或YY 9706.102-2021的要求。</w:t>
      </w:r>
    </w:p>
    <w:p>
      <w:pPr>
        <w:pStyle w:val="61"/>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（标准执行要求详见本指导原则第三章）。</w:t>
      </w:r>
    </w:p>
    <w:p>
      <w:pPr>
        <w:pStyle w:val="61"/>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2.3检验方法</w:t>
      </w:r>
    </w:p>
    <w:p>
      <w:pPr>
        <w:pStyle w:val="61"/>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产品的检验方法需根据技术性能指标设定，检验方法需优先采用公认的或已颁布的标准检验方法；自建检验方法需提供相应的方法学依据及理论基础，同时保证检验方法具有可操作性和可重现性，必要时可附相应图示进行说明，文本较大的可以附录形式提供。</w:t>
      </w:r>
    </w:p>
    <w:p>
      <w:pPr>
        <w:spacing w:line="520" w:lineRule="exact"/>
        <w:ind w:firstLine="640" w:firstLineChars="200"/>
        <w:rPr>
          <w:rFonts w:eastAsia="仿宋_GB2312"/>
          <w:color w:val="000000"/>
          <w:sz w:val="32"/>
          <w:szCs w:val="32"/>
        </w:rPr>
      </w:pPr>
      <w:r>
        <w:rPr>
          <w:rFonts w:hint="eastAsia" w:ascii="Times New Roman" w:hAnsi="Times New Roman" w:eastAsia="仿宋_GB2312" w:cs="Times New Roman"/>
          <w:kern w:val="2"/>
          <w:sz w:val="32"/>
          <w:szCs w:val="32"/>
          <w:lang w:val="en-US" w:eastAsia="zh-CN" w:bidi="ar-SA"/>
        </w:rPr>
        <w:t>3.</w:t>
      </w:r>
      <w:r>
        <w:rPr>
          <w:rFonts w:eastAsia="仿宋_GB2312"/>
          <w:color w:val="000000"/>
          <w:sz w:val="32"/>
          <w:szCs w:val="32"/>
        </w:rPr>
        <w:t>检验报告</w:t>
      </w:r>
    </w:p>
    <w:p>
      <w:pPr>
        <w:spacing w:line="520" w:lineRule="exact"/>
        <w:ind w:firstLine="640" w:firstLineChars="200"/>
        <w:rPr>
          <w:rFonts w:eastAsia="仿宋_GB2312"/>
          <w:color w:val="000000"/>
          <w:sz w:val="32"/>
          <w:szCs w:val="32"/>
        </w:rPr>
      </w:pPr>
      <w:r>
        <w:rPr>
          <w:rFonts w:hint="eastAsia" w:eastAsia="仿宋_GB2312"/>
          <w:color w:val="000000"/>
          <w:sz w:val="32"/>
          <w:szCs w:val="32"/>
          <w:lang w:val="en-US" w:eastAsia="zh-CN"/>
        </w:rPr>
        <w:t>3.1</w:t>
      </w:r>
      <w:r>
        <w:rPr>
          <w:rFonts w:eastAsia="仿宋_GB2312"/>
          <w:color w:val="000000"/>
          <w:sz w:val="32"/>
          <w:szCs w:val="32"/>
        </w:rPr>
        <w:t>可提交以下任一形式的检验报告：</w:t>
      </w:r>
    </w:p>
    <w:p>
      <w:pPr>
        <w:spacing w:line="520" w:lineRule="exact"/>
        <w:ind w:firstLine="640" w:firstLineChars="200"/>
        <w:rPr>
          <w:rFonts w:eastAsia="仿宋_GB2312"/>
          <w:color w:val="000000"/>
          <w:sz w:val="32"/>
          <w:szCs w:val="32"/>
        </w:rPr>
      </w:pPr>
      <w:r>
        <w:rPr>
          <w:rFonts w:hint="eastAsia" w:eastAsia="仿宋_GB2312"/>
          <w:color w:val="000000"/>
          <w:sz w:val="32"/>
          <w:szCs w:val="32"/>
          <w:lang w:val="en-US" w:eastAsia="zh-CN"/>
        </w:rPr>
        <w:t>3.1.1</w:t>
      </w:r>
      <w:r>
        <w:rPr>
          <w:rFonts w:eastAsia="仿宋_GB2312"/>
          <w:color w:val="000000"/>
          <w:sz w:val="32"/>
          <w:szCs w:val="32"/>
        </w:rPr>
        <w:t>申请人出具的自检报告。</w:t>
      </w:r>
    </w:p>
    <w:p>
      <w:pPr>
        <w:pStyle w:val="61"/>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3.1.2</w:t>
      </w:r>
      <w:r>
        <w:rPr>
          <w:rFonts w:eastAsia="仿宋_GB2312"/>
          <w:color w:val="000000"/>
          <w:sz w:val="32"/>
          <w:szCs w:val="32"/>
        </w:rPr>
        <w:t>委托有资质的医疗器械检验机构出具的检验报告</w:t>
      </w:r>
    </w:p>
    <w:p>
      <w:pPr>
        <w:pStyle w:val="59"/>
        <w:spacing w:line="520" w:lineRule="exact"/>
        <w:ind w:firstLine="640"/>
        <w:rPr>
          <w:color w:val="000000"/>
        </w:rPr>
      </w:pPr>
      <w:r>
        <w:rPr>
          <w:rFonts w:hint="eastAsia"/>
          <w:color w:val="000000"/>
          <w:lang w:val="en-US" w:eastAsia="zh-CN"/>
        </w:rPr>
        <w:t>3.2</w:t>
      </w:r>
      <w:r>
        <w:rPr>
          <w:color w:val="000000"/>
        </w:rPr>
        <w:t>同一注册单元内检验典型性产品确定原则</w:t>
      </w:r>
    </w:p>
    <w:p>
      <w:pPr>
        <w:spacing w:line="520" w:lineRule="exact"/>
        <w:ind w:firstLine="640" w:firstLineChars="200"/>
        <w:rPr>
          <w:rFonts w:ascii="Times New Roman" w:hAnsi="Times New Roman" w:eastAsia="仿宋_GB2312" w:cs="Times New Roman"/>
          <w:color w:val="000000"/>
          <w:kern w:val="2"/>
          <w:sz w:val="32"/>
          <w:szCs w:val="32"/>
          <w:lang w:val="en-US" w:eastAsia="zh-CN" w:bidi="ar-SA"/>
        </w:rPr>
      </w:pPr>
      <w:r>
        <w:rPr>
          <w:rFonts w:ascii="Times New Roman" w:hAnsi="Times New Roman" w:eastAsia="仿宋_GB2312" w:cs="Times New Roman"/>
          <w:color w:val="000000"/>
          <w:kern w:val="2"/>
          <w:sz w:val="32"/>
          <w:szCs w:val="32"/>
          <w:lang w:val="en-US" w:eastAsia="zh-CN" w:bidi="ar-SA"/>
        </w:rPr>
        <w:t>同一注册单元内所检验的产品应当能够代表本注册单元内其他产品的安全性和有效性，并提供典型性检验样品的确定依据。</w:t>
      </w:r>
    </w:p>
    <w:p>
      <w:pPr>
        <w:spacing w:line="520" w:lineRule="exact"/>
        <w:ind w:firstLine="640" w:firstLineChars="200"/>
        <w:rPr>
          <w:rFonts w:eastAsia="仿宋_GB2312"/>
          <w:color w:val="000000"/>
          <w:sz w:val="32"/>
          <w:szCs w:val="32"/>
        </w:rPr>
      </w:pPr>
      <w:r>
        <w:rPr>
          <w:rFonts w:eastAsia="仿宋_GB2312"/>
          <w:color w:val="000000"/>
          <w:sz w:val="32"/>
          <w:szCs w:val="32"/>
        </w:rPr>
        <w:t>4.研究资料</w:t>
      </w:r>
    </w:p>
    <w:p>
      <w:pPr>
        <w:overflowPunct w:val="0"/>
        <w:autoSpaceDE w:val="0"/>
        <w:autoSpaceDN w:val="0"/>
        <w:spacing w:line="520" w:lineRule="exact"/>
        <w:ind w:firstLine="640" w:firstLineChars="200"/>
        <w:rPr>
          <w:rFonts w:eastAsia="仿宋_GB2312"/>
          <w:color w:val="000000"/>
          <w:sz w:val="32"/>
          <w:szCs w:val="32"/>
        </w:rPr>
      </w:pPr>
      <w:r>
        <w:rPr>
          <w:rFonts w:eastAsia="仿宋_GB2312"/>
          <w:color w:val="000000"/>
          <w:sz w:val="32"/>
          <w:szCs w:val="32"/>
        </w:rPr>
        <w:t>4.1化学和物理性能研究</w:t>
      </w:r>
    </w:p>
    <w:p>
      <w:pPr>
        <w:widowControl w:val="0"/>
        <w:spacing w:line="52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申报资料中应当包括产品性能研究资料以及产品技术要求的研究和编制说明，包括功能性、安全性指标以及与质量控制相关的其他指标的确定依据，所采用的标准或方法、采用的原因及理论基础。</w:t>
      </w:r>
    </w:p>
    <w:p>
      <w:pPr>
        <w:pStyle w:val="61"/>
        <w:tabs>
          <w:tab w:val="left" w:pos="1440"/>
        </w:tabs>
        <w:ind w:firstLine="64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sz w:val="32"/>
          <w:szCs w:val="32"/>
          <w:lang w:val="en-US" w:eastAsia="zh-CN"/>
        </w:rPr>
        <w:t>4</w:t>
      </w:r>
      <w:r>
        <w:rPr>
          <w:rFonts w:ascii="Times New Roman" w:hAnsi="Times New Roman" w:eastAsia="仿宋_GB2312"/>
          <w:sz w:val="32"/>
          <w:szCs w:val="32"/>
        </w:rPr>
        <w:t>.1.1</w:t>
      </w:r>
      <w:r>
        <w:rPr>
          <w:rFonts w:hint="eastAsia" w:ascii="Times New Roman" w:hAnsi="Times New Roman" w:eastAsia="仿宋_GB2312"/>
          <w:sz w:val="32"/>
          <w:szCs w:val="32"/>
        </w:rPr>
        <w:t>应提交</w:t>
      </w:r>
      <w:r>
        <w:rPr>
          <w:rFonts w:ascii="Times New Roman" w:hAnsi="Times New Roman" w:eastAsia="仿宋_GB2312"/>
          <w:sz w:val="32"/>
          <w:szCs w:val="32"/>
        </w:rPr>
        <w:t>YY</w:t>
      </w:r>
      <w:r>
        <w:rPr>
          <w:rFonts w:hint="eastAsia" w:ascii="Times New Roman" w:hAnsi="Times New Roman" w:eastAsia="仿宋_GB2312"/>
          <w:sz w:val="32"/>
          <w:szCs w:val="32"/>
          <w:lang w:val="en-US" w:eastAsia="zh-CN"/>
        </w:rPr>
        <w:t xml:space="preserve"> </w:t>
      </w:r>
      <w:r>
        <w:rPr>
          <w:rFonts w:hint="eastAsia" w:ascii="Times New Roman" w:hAnsi="Times New Roman" w:eastAsia="仿宋_GB2312" w:cs="Times New Roman"/>
          <w:kern w:val="2"/>
          <w:sz w:val="32"/>
          <w:szCs w:val="32"/>
          <w:lang w:val="en-US" w:eastAsia="zh-CN" w:bidi="ar-SA"/>
        </w:rPr>
        <w:t>0670-2008或YY 9706.230-2023中要求的系统整体的有效性研究资料。</w:t>
      </w:r>
    </w:p>
    <w:p>
      <w:pPr>
        <w:pStyle w:val="61"/>
        <w:tabs>
          <w:tab w:val="left" w:pos="1440"/>
        </w:tabs>
        <w:ind w:firstLine="640"/>
        <w:rPr>
          <w:rFonts w:hint="default"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在YY 9706.230-2023实施前，制造商仍可按照以下临床评估方案进行：</w:t>
      </w:r>
    </w:p>
    <w:p>
      <w:pPr>
        <w:pStyle w:val="61"/>
        <w:spacing w:line="520" w:lineRule="exact"/>
        <w:ind w:firstLine="640"/>
        <w:rPr>
          <w:rFonts w:ascii="Times New Roman" w:hAnsi="Times New Roman" w:eastAsia="仿宋_GB2312"/>
          <w:sz w:val="32"/>
          <w:szCs w:val="32"/>
        </w:rPr>
      </w:pPr>
      <w:r>
        <w:rPr>
          <w:rFonts w:hint="eastAsia" w:ascii="Times New Roman" w:hAnsi="Times New Roman" w:eastAsia="仿宋_GB2312"/>
          <w:sz w:val="32"/>
          <w:szCs w:val="32"/>
        </w:rPr>
        <w:t>制造商应提供针对自动血压测量准确性的临床评估报告。推荐的临床评估方案：在这个临床过程中应确保被评估系统的整体性能的评价方法符合</w:t>
      </w:r>
      <w:r>
        <w:rPr>
          <w:rFonts w:ascii="Times New Roman" w:hAnsi="Times New Roman" w:eastAsia="仿宋_GB2312"/>
          <w:sz w:val="32"/>
          <w:szCs w:val="32"/>
        </w:rPr>
        <w:t>YY 0670</w:t>
      </w:r>
      <w:r>
        <w:rPr>
          <w:rFonts w:hint="eastAsia" w:ascii="Times New Roman" w:hAnsi="Times New Roman" w:eastAsia="仿宋_GB2312"/>
          <w:sz w:val="32"/>
          <w:szCs w:val="32"/>
          <w:lang w:val="en-US" w:eastAsia="zh-CN"/>
        </w:rPr>
        <w:t>-</w:t>
      </w:r>
      <w:r>
        <w:rPr>
          <w:rFonts w:ascii="Times New Roman" w:hAnsi="Times New Roman" w:eastAsia="仿宋_GB2312"/>
          <w:sz w:val="32"/>
          <w:szCs w:val="32"/>
        </w:rPr>
        <w:t>2008</w:t>
      </w:r>
      <w:r>
        <w:rPr>
          <w:rFonts w:hint="eastAsia" w:ascii="Times New Roman" w:hAnsi="Times New Roman" w:eastAsia="仿宋_GB2312"/>
          <w:sz w:val="32"/>
          <w:szCs w:val="32"/>
        </w:rPr>
        <w:t>中第</w:t>
      </w:r>
      <w:r>
        <w:rPr>
          <w:rFonts w:ascii="Times New Roman" w:hAnsi="Times New Roman" w:eastAsia="仿宋_GB2312"/>
          <w:sz w:val="32"/>
          <w:szCs w:val="32"/>
        </w:rPr>
        <w:t>G.1</w:t>
      </w:r>
      <w:r>
        <w:rPr>
          <w:rFonts w:hint="eastAsia" w:ascii="Times New Roman" w:hAnsi="Times New Roman" w:eastAsia="仿宋_GB2312"/>
          <w:sz w:val="32"/>
          <w:szCs w:val="32"/>
        </w:rPr>
        <w:t>章（听诊法）或第</w:t>
      </w:r>
      <w:r>
        <w:rPr>
          <w:rFonts w:ascii="Times New Roman" w:hAnsi="Times New Roman" w:eastAsia="仿宋_GB2312"/>
          <w:sz w:val="32"/>
          <w:szCs w:val="32"/>
        </w:rPr>
        <w:t>G.2</w:t>
      </w:r>
      <w:r>
        <w:rPr>
          <w:rFonts w:hint="eastAsia" w:ascii="Times New Roman" w:hAnsi="Times New Roman" w:eastAsia="仿宋_GB2312"/>
          <w:sz w:val="32"/>
          <w:szCs w:val="32"/>
        </w:rPr>
        <w:t>章（有创法）的要求，而且符合标识要求，并确保整个体系在上述临床评价的统计结论应满足：</w:t>
      </w:r>
    </w:p>
    <w:p>
      <w:pPr>
        <w:pStyle w:val="61"/>
        <w:tabs>
          <w:tab w:val="left" w:pos="1080"/>
        </w:tabs>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w:t>
      </w:r>
      <w:r>
        <w:rPr>
          <w:rFonts w:hint="eastAsia" w:ascii="Times New Roman" w:hAnsi="Times New Roman" w:eastAsia="仿宋_GB2312"/>
          <w:sz w:val="32"/>
          <w:szCs w:val="32"/>
        </w:rPr>
        <w:t>按</w:t>
      </w:r>
      <w:r>
        <w:rPr>
          <w:rFonts w:ascii="Times New Roman" w:hAnsi="Times New Roman" w:eastAsia="仿宋_GB2312"/>
          <w:sz w:val="32"/>
          <w:szCs w:val="32"/>
        </w:rPr>
        <w:t>YY0670</w:t>
      </w:r>
      <w:r>
        <w:rPr>
          <w:rFonts w:hint="eastAsia" w:ascii="Times New Roman" w:hAnsi="Times New Roman" w:eastAsia="仿宋_GB2312"/>
          <w:sz w:val="32"/>
          <w:szCs w:val="32"/>
          <w:lang w:val="en-US" w:eastAsia="zh-CN"/>
        </w:rPr>
        <w:t>-</w:t>
      </w:r>
      <w:r>
        <w:rPr>
          <w:rFonts w:ascii="Times New Roman" w:hAnsi="Times New Roman" w:eastAsia="仿宋_GB2312"/>
          <w:sz w:val="32"/>
          <w:szCs w:val="32"/>
        </w:rPr>
        <w:t>2008</w:t>
      </w:r>
      <w:r>
        <w:rPr>
          <w:rFonts w:hint="eastAsia" w:ascii="Times New Roman" w:hAnsi="Times New Roman" w:eastAsia="仿宋_GB2312"/>
          <w:sz w:val="32"/>
          <w:szCs w:val="32"/>
        </w:rPr>
        <w:t>中</w:t>
      </w:r>
      <w:r>
        <w:rPr>
          <w:rFonts w:ascii="Times New Roman" w:hAnsi="Times New Roman" w:eastAsia="仿宋_GB2312"/>
          <w:sz w:val="32"/>
          <w:szCs w:val="32"/>
        </w:rPr>
        <w:t>G.1.1</w:t>
      </w:r>
      <w:r>
        <w:rPr>
          <w:rFonts w:hint="eastAsia" w:ascii="Times New Roman" w:hAnsi="Times New Roman" w:eastAsia="仿宋_GB2312"/>
          <w:sz w:val="32"/>
          <w:szCs w:val="32"/>
        </w:rPr>
        <w:t>的方法，达到平均差不超过±</w:t>
      </w:r>
      <w:r>
        <w:rPr>
          <w:rFonts w:ascii="Times New Roman" w:hAnsi="Times New Roman" w:eastAsia="仿宋_GB2312"/>
          <w:sz w:val="32"/>
          <w:szCs w:val="32"/>
        </w:rPr>
        <w:t>0.67kPa</w:t>
      </w:r>
      <w:r>
        <w:rPr>
          <w:rFonts w:hint="eastAsia" w:ascii="Times New Roman" w:hAnsi="Times New Roman" w:eastAsia="仿宋_GB2312"/>
          <w:sz w:val="32"/>
          <w:szCs w:val="32"/>
        </w:rPr>
        <w:t>（±</w:t>
      </w:r>
      <w:r>
        <w:rPr>
          <w:rFonts w:ascii="Times New Roman" w:hAnsi="Times New Roman" w:eastAsia="仿宋_GB2312"/>
          <w:sz w:val="32"/>
          <w:szCs w:val="32"/>
        </w:rPr>
        <w:t>5mmHg</w:t>
      </w:r>
      <w:r>
        <w:rPr>
          <w:rFonts w:hint="eastAsia" w:ascii="Times New Roman" w:hAnsi="Times New Roman" w:eastAsia="仿宋_GB2312"/>
          <w:sz w:val="32"/>
          <w:szCs w:val="32"/>
        </w:rPr>
        <w:t>），标准偏差不超过</w:t>
      </w:r>
      <w:r>
        <w:rPr>
          <w:rFonts w:ascii="Times New Roman" w:hAnsi="Times New Roman" w:eastAsia="仿宋_GB2312"/>
          <w:sz w:val="32"/>
          <w:szCs w:val="32"/>
        </w:rPr>
        <w:t>1.067kPa</w:t>
      </w:r>
      <w:r>
        <w:rPr>
          <w:rFonts w:hint="eastAsia" w:ascii="Times New Roman" w:hAnsi="Times New Roman" w:eastAsia="仿宋_GB2312"/>
          <w:sz w:val="32"/>
          <w:szCs w:val="32"/>
        </w:rPr>
        <w:t>（</w:t>
      </w:r>
      <w:r>
        <w:rPr>
          <w:rFonts w:ascii="Times New Roman" w:hAnsi="Times New Roman" w:eastAsia="仿宋_GB2312"/>
          <w:sz w:val="32"/>
          <w:szCs w:val="32"/>
        </w:rPr>
        <w:t>8mmHg</w:t>
      </w:r>
      <w:r>
        <w:rPr>
          <w:rFonts w:hint="eastAsia" w:ascii="Times New Roman" w:hAnsi="Times New Roman" w:eastAsia="仿宋_GB2312"/>
          <w:sz w:val="32"/>
          <w:szCs w:val="32"/>
        </w:rPr>
        <w:t>）；</w:t>
      </w:r>
    </w:p>
    <w:p>
      <w:pPr>
        <w:pStyle w:val="61"/>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w:t>
      </w:r>
      <w:r>
        <w:rPr>
          <w:rFonts w:hint="eastAsia" w:ascii="Times New Roman" w:hAnsi="Times New Roman" w:eastAsia="仿宋_GB2312"/>
          <w:sz w:val="32"/>
          <w:szCs w:val="32"/>
        </w:rPr>
        <w:t>按</w:t>
      </w:r>
      <w:r>
        <w:rPr>
          <w:rFonts w:ascii="Times New Roman" w:hAnsi="Times New Roman" w:eastAsia="仿宋_GB2312"/>
          <w:sz w:val="32"/>
          <w:szCs w:val="32"/>
        </w:rPr>
        <w:t>YY0670</w:t>
      </w:r>
      <w:r>
        <w:rPr>
          <w:rFonts w:hint="eastAsia" w:ascii="Times New Roman" w:hAnsi="Times New Roman" w:eastAsia="仿宋_GB2312"/>
          <w:sz w:val="32"/>
          <w:szCs w:val="32"/>
          <w:lang w:val="en-US" w:eastAsia="zh-CN"/>
        </w:rPr>
        <w:t>-</w:t>
      </w:r>
      <w:r>
        <w:rPr>
          <w:rFonts w:ascii="Times New Roman" w:hAnsi="Times New Roman" w:eastAsia="仿宋_GB2312"/>
          <w:sz w:val="32"/>
          <w:szCs w:val="32"/>
        </w:rPr>
        <w:t>2008</w:t>
      </w:r>
      <w:r>
        <w:rPr>
          <w:rFonts w:hint="eastAsia" w:ascii="Times New Roman" w:hAnsi="Times New Roman" w:eastAsia="仿宋_GB2312"/>
          <w:sz w:val="32"/>
          <w:szCs w:val="32"/>
        </w:rPr>
        <w:t>中</w:t>
      </w:r>
      <w:r>
        <w:rPr>
          <w:rFonts w:ascii="Times New Roman" w:hAnsi="Times New Roman" w:eastAsia="仿宋_GB2312"/>
          <w:sz w:val="32"/>
          <w:szCs w:val="32"/>
        </w:rPr>
        <w:t>G.1.2</w:t>
      </w:r>
      <w:r>
        <w:rPr>
          <w:rFonts w:hint="eastAsia" w:ascii="Times New Roman" w:hAnsi="Times New Roman" w:eastAsia="仿宋_GB2312"/>
          <w:sz w:val="32"/>
          <w:szCs w:val="32"/>
        </w:rPr>
        <w:t>的方法，达到</w:t>
      </w:r>
      <w:r>
        <w:rPr>
          <w:rFonts w:ascii="Times New Roman" w:hAnsi="Times New Roman" w:eastAsia="仿宋_GB2312"/>
          <w:sz w:val="32"/>
          <w:szCs w:val="32"/>
        </w:rPr>
        <w:t>G.1</w:t>
      </w:r>
      <w:r>
        <w:rPr>
          <w:rFonts w:hint="eastAsia" w:ascii="Times New Roman" w:hAnsi="Times New Roman" w:eastAsia="仿宋_GB2312"/>
          <w:sz w:val="32"/>
          <w:szCs w:val="32"/>
        </w:rPr>
        <w:t>的要求。</w:t>
      </w:r>
    </w:p>
    <w:p>
      <w:pPr>
        <w:pStyle w:val="61"/>
        <w:spacing w:line="520" w:lineRule="exact"/>
        <w:ind w:firstLine="640"/>
        <w:rPr>
          <w:rFonts w:ascii="Times New Roman" w:hAnsi="Times New Roman" w:eastAsia="仿宋_GB2312"/>
          <w:sz w:val="32"/>
          <w:szCs w:val="32"/>
        </w:rPr>
      </w:pPr>
      <w:r>
        <w:rPr>
          <w:rFonts w:hint="eastAsia" w:ascii="Times New Roman" w:hAnsi="Times New Roman" w:eastAsia="仿宋_GB2312"/>
          <w:sz w:val="32"/>
          <w:szCs w:val="32"/>
        </w:rPr>
        <w:t>详细方法和要求，请参见</w:t>
      </w:r>
      <w:r>
        <w:rPr>
          <w:rFonts w:ascii="Times New Roman" w:hAnsi="Times New Roman" w:eastAsia="仿宋_GB2312"/>
          <w:sz w:val="32"/>
          <w:szCs w:val="32"/>
        </w:rPr>
        <w:t>YY0670</w:t>
      </w:r>
      <w:r>
        <w:rPr>
          <w:rFonts w:hint="eastAsia" w:ascii="Times New Roman" w:hAnsi="Times New Roman" w:eastAsia="仿宋_GB2312"/>
          <w:sz w:val="32"/>
          <w:szCs w:val="32"/>
          <w:lang w:val="en-US" w:eastAsia="zh-CN"/>
        </w:rPr>
        <w:t>-</w:t>
      </w:r>
      <w:r>
        <w:rPr>
          <w:rFonts w:ascii="Times New Roman" w:hAnsi="Times New Roman" w:eastAsia="仿宋_GB2312"/>
          <w:sz w:val="32"/>
          <w:szCs w:val="32"/>
        </w:rPr>
        <w:t>2008</w:t>
      </w:r>
      <w:r>
        <w:rPr>
          <w:rFonts w:hint="eastAsia" w:ascii="Times New Roman" w:hAnsi="Times New Roman" w:eastAsia="仿宋_GB2312"/>
          <w:sz w:val="32"/>
          <w:szCs w:val="32"/>
        </w:rPr>
        <w:t>附录</w:t>
      </w:r>
      <w:r>
        <w:rPr>
          <w:rFonts w:ascii="Times New Roman" w:hAnsi="Times New Roman" w:eastAsia="仿宋_GB2312"/>
          <w:sz w:val="32"/>
          <w:szCs w:val="32"/>
        </w:rPr>
        <w:t>G</w:t>
      </w:r>
      <w:r>
        <w:rPr>
          <w:rFonts w:hint="eastAsia" w:ascii="Times New Roman" w:hAnsi="Times New Roman" w:eastAsia="仿宋_GB2312"/>
          <w:sz w:val="32"/>
          <w:szCs w:val="32"/>
        </w:rPr>
        <w:t>。</w:t>
      </w:r>
    </w:p>
    <w:p>
      <w:pPr>
        <w:pStyle w:val="61"/>
        <w:spacing w:line="520" w:lineRule="exact"/>
        <w:ind w:firstLine="640"/>
        <w:rPr>
          <w:rFonts w:hint="eastAsia" w:ascii="Times New Roman" w:hAnsi="Times New Roman" w:eastAsia="仿宋_GB2312" w:cs="Times New Roman"/>
          <w:sz w:val="32"/>
          <w:szCs w:val="32"/>
        </w:rPr>
      </w:pPr>
      <w:r>
        <w:rPr>
          <w:rFonts w:hint="eastAsia" w:ascii="Times New Roman" w:hAnsi="Times New Roman" w:eastAsia="仿宋_GB2312"/>
          <w:sz w:val="32"/>
          <w:szCs w:val="32"/>
        </w:rPr>
        <w:t>除</w:t>
      </w:r>
      <w:r>
        <w:rPr>
          <w:rFonts w:ascii="Times New Roman" w:hAnsi="Times New Roman" w:eastAsia="仿宋_GB2312"/>
          <w:sz w:val="32"/>
          <w:szCs w:val="32"/>
        </w:rPr>
        <w:t>YY0667</w:t>
      </w:r>
      <w:r>
        <w:rPr>
          <w:rFonts w:hint="eastAsia" w:ascii="Times New Roman" w:hAnsi="Times New Roman" w:eastAsia="仿宋_GB2312"/>
          <w:sz w:val="32"/>
          <w:szCs w:val="32"/>
          <w:lang w:val="en-US" w:eastAsia="zh-CN"/>
        </w:rPr>
        <w:t>-</w:t>
      </w:r>
      <w:r>
        <w:rPr>
          <w:rFonts w:ascii="Times New Roman" w:hAnsi="Times New Roman" w:eastAsia="仿宋_GB2312"/>
          <w:sz w:val="32"/>
          <w:szCs w:val="32"/>
        </w:rPr>
        <w:t>2008</w:t>
      </w:r>
      <w:r>
        <w:rPr>
          <w:rFonts w:hint="eastAsia" w:ascii="Times New Roman" w:hAnsi="Times New Roman" w:eastAsia="仿宋_GB2312"/>
          <w:sz w:val="32"/>
          <w:szCs w:val="32"/>
        </w:rPr>
        <w:t>中的临床评估方案，本指导原则中推荐的其他临床评估方案也是可选的</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如</w:t>
      </w:r>
      <w:r>
        <w:rPr>
          <w:rFonts w:ascii="Times New Roman" w:hAnsi="Times New Roman" w:eastAsia="仿宋_GB2312" w:cs="Times New Roman"/>
          <w:sz w:val="32"/>
          <w:szCs w:val="32"/>
        </w:rPr>
        <w:t>ESH</w:t>
      </w:r>
      <w:r>
        <w:rPr>
          <w:rFonts w:hint="eastAsia" w:ascii="Times New Roman" w:hAnsi="Times New Roman" w:eastAsia="仿宋_GB2312" w:cs="Times New Roman"/>
          <w:sz w:val="32"/>
          <w:szCs w:val="32"/>
        </w:rPr>
        <w:t>（欧洲高血压协会）评估方案或</w:t>
      </w:r>
      <w:r>
        <w:rPr>
          <w:rFonts w:ascii="Times New Roman" w:hAnsi="Times New Roman" w:eastAsia="仿宋_GB2312" w:cs="Times New Roman"/>
          <w:sz w:val="32"/>
          <w:szCs w:val="32"/>
        </w:rPr>
        <w:t>BHS</w:t>
      </w:r>
      <w:r>
        <w:rPr>
          <w:rFonts w:hint="eastAsia" w:ascii="Times New Roman" w:hAnsi="Times New Roman" w:eastAsia="仿宋_GB2312" w:cs="Times New Roman"/>
          <w:sz w:val="32"/>
          <w:szCs w:val="32"/>
        </w:rPr>
        <w:t>（英国高血压学会）的评估方案。（</w:t>
      </w:r>
      <w:r>
        <w:rPr>
          <w:rFonts w:ascii="Times New Roman" w:hAnsi="Times New Roman" w:eastAsia="仿宋_GB2312" w:cs="Times New Roman"/>
          <w:sz w:val="32"/>
          <w:szCs w:val="32"/>
        </w:rPr>
        <w:t>BHS</w:t>
      </w:r>
      <w:r>
        <w:rPr>
          <w:rFonts w:hint="eastAsia" w:ascii="Times New Roman" w:hAnsi="Times New Roman" w:eastAsia="仿宋_GB2312" w:cs="Times New Roman"/>
          <w:sz w:val="32"/>
          <w:szCs w:val="32"/>
        </w:rPr>
        <w:t>需</w:t>
      </w:r>
      <w:r>
        <w:rPr>
          <w:rFonts w:ascii="Times New Roman" w:hAnsi="Times New Roman" w:eastAsia="仿宋_GB2312" w:cs="Times New Roman"/>
          <w:sz w:val="32"/>
          <w:szCs w:val="32"/>
        </w:rPr>
        <w:t>B</w:t>
      </w:r>
      <w:r>
        <w:rPr>
          <w:rFonts w:hint="eastAsia" w:ascii="Times New Roman" w:hAnsi="Times New Roman" w:eastAsia="仿宋_GB2312" w:cs="Times New Roman"/>
          <w:sz w:val="32"/>
          <w:szCs w:val="32"/>
        </w:rPr>
        <w:t>档以上）</w:t>
      </w:r>
    </w:p>
    <w:p>
      <w:pPr>
        <w:pStyle w:val="61"/>
        <w:spacing w:line="520" w:lineRule="exact"/>
        <w:ind w:firstLine="640"/>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YY 9706.230-2023实施后，应按照YY 9706.230-2023 第201.106章的要求提交临床准确度验证报告。</w:t>
      </w:r>
    </w:p>
    <w:p>
      <w:pPr>
        <w:pStyle w:val="61"/>
        <w:spacing w:line="520" w:lineRule="exact"/>
        <w:ind w:firstLine="640"/>
        <w:rPr>
          <w:rFonts w:ascii="Times New Roman" w:hAnsi="Times New Roman" w:eastAsia="仿宋_GB2312"/>
          <w:sz w:val="32"/>
          <w:szCs w:val="32"/>
        </w:rPr>
      </w:pPr>
      <w:r>
        <w:rPr>
          <w:rFonts w:hint="eastAsia" w:ascii="Times New Roman" w:hAnsi="Times New Roman" w:eastAsia="仿宋_GB2312"/>
          <w:sz w:val="32"/>
          <w:szCs w:val="32"/>
          <w:lang w:val="en-US" w:eastAsia="zh-CN"/>
        </w:rPr>
        <w:t>4</w:t>
      </w:r>
      <w:r>
        <w:rPr>
          <w:rFonts w:ascii="Times New Roman" w:hAnsi="Times New Roman" w:eastAsia="仿宋_GB2312"/>
          <w:sz w:val="32"/>
          <w:szCs w:val="32"/>
        </w:rPr>
        <w:t>.1.2</w:t>
      </w:r>
      <w:r>
        <w:rPr>
          <w:rFonts w:hint="eastAsia" w:ascii="Times New Roman" w:hAnsi="Times New Roman" w:eastAsia="仿宋_GB2312"/>
          <w:sz w:val="32"/>
          <w:szCs w:val="32"/>
        </w:rPr>
        <w:t>应描述所采用的国家标准标、行业标准中不适用条款的理由。</w:t>
      </w:r>
    </w:p>
    <w:p>
      <w:pPr>
        <w:pStyle w:val="61"/>
        <w:spacing w:line="520" w:lineRule="exact"/>
        <w:ind w:firstLine="640"/>
      </w:pPr>
      <w:r>
        <w:rPr>
          <w:rFonts w:hint="eastAsia" w:ascii="Times New Roman" w:hAnsi="Times New Roman" w:eastAsia="仿宋_GB2312"/>
          <w:sz w:val="32"/>
          <w:szCs w:val="32"/>
          <w:lang w:val="en-US" w:eastAsia="zh-CN"/>
        </w:rPr>
        <w:t>4</w:t>
      </w:r>
      <w:r>
        <w:rPr>
          <w:rFonts w:ascii="Times New Roman" w:hAnsi="Times New Roman" w:eastAsia="仿宋_GB2312"/>
          <w:sz w:val="32"/>
          <w:szCs w:val="32"/>
        </w:rPr>
        <w:t>.1.3</w:t>
      </w:r>
      <w:r>
        <w:rPr>
          <w:rFonts w:hint="eastAsia" w:ascii="Times New Roman" w:hAnsi="Times New Roman" w:eastAsia="仿宋_GB2312"/>
          <w:sz w:val="32"/>
          <w:szCs w:val="32"/>
        </w:rPr>
        <w:t>如有附加的产品功能（如脉率）及检测方法，给出其制定的相关的依据。</w:t>
      </w:r>
    </w:p>
    <w:p>
      <w:pPr>
        <w:overflowPunct w:val="0"/>
        <w:autoSpaceDE w:val="0"/>
        <w:autoSpaceDN w:val="0"/>
        <w:spacing w:line="520" w:lineRule="exact"/>
        <w:ind w:firstLine="640" w:firstLineChars="200"/>
        <w:rPr>
          <w:rFonts w:hint="eastAsia" w:eastAsia="仿宋_GB2312"/>
          <w:color w:val="000000"/>
          <w:sz w:val="32"/>
          <w:szCs w:val="32"/>
          <w:lang w:val="en-US" w:eastAsia="zh-CN"/>
        </w:rPr>
      </w:pPr>
      <w:r>
        <w:rPr>
          <w:rFonts w:hint="eastAsia" w:eastAsia="仿宋_GB2312"/>
          <w:snapToGrid w:val="0"/>
          <w:kern w:val="0"/>
          <w:sz w:val="32"/>
          <w:szCs w:val="32"/>
          <w:lang w:val="en-US" w:eastAsia="zh-CN"/>
        </w:rPr>
        <w:t>4.2</w:t>
      </w:r>
      <w:r>
        <w:rPr>
          <w:rFonts w:hint="eastAsia" w:eastAsia="仿宋_GB2312"/>
          <w:color w:val="000000"/>
          <w:sz w:val="32"/>
          <w:szCs w:val="32"/>
          <w:lang w:val="en-US" w:eastAsia="zh-CN"/>
        </w:rPr>
        <w:t>电气系统安全性研究</w:t>
      </w:r>
    </w:p>
    <w:p>
      <w:pPr>
        <w:overflowPunct w:val="0"/>
        <w:autoSpaceDE w:val="0"/>
        <w:autoSpaceDN w:val="0"/>
        <w:spacing w:line="520" w:lineRule="exact"/>
        <w:ind w:firstLine="640" w:firstLineChars="200"/>
        <w:rPr>
          <w:rFonts w:hint="eastAsia" w:eastAsia="仿宋_GB2312"/>
          <w:color w:val="000000"/>
          <w:sz w:val="32"/>
          <w:szCs w:val="32"/>
          <w:lang w:val="en-US" w:eastAsia="zh-CN"/>
        </w:rPr>
      </w:pPr>
      <w:r>
        <w:rPr>
          <w:rFonts w:hint="eastAsia" w:eastAsia="仿宋_GB2312"/>
          <w:color w:val="000000"/>
          <w:sz w:val="32"/>
          <w:szCs w:val="32"/>
          <w:lang w:val="en-US" w:eastAsia="zh-CN"/>
        </w:rPr>
        <w:t>应当提供电气安全性、机械和环境保护以及电磁兼容性的研究资料，说明适用的标准以及开展的研究。</w:t>
      </w:r>
    </w:p>
    <w:p>
      <w:pPr>
        <w:overflowPunct w:val="0"/>
        <w:autoSpaceDE w:val="0"/>
        <w:autoSpaceDN w:val="0"/>
        <w:spacing w:line="520" w:lineRule="exact"/>
        <w:ind w:firstLine="640" w:firstLineChars="200"/>
        <w:outlineLvl w:val="2"/>
        <w:rPr>
          <w:rFonts w:hint="eastAsia" w:eastAsia="仿宋_GB2312"/>
          <w:snapToGrid w:val="0"/>
          <w:kern w:val="0"/>
          <w:sz w:val="32"/>
          <w:szCs w:val="32"/>
        </w:rPr>
      </w:pPr>
      <w:r>
        <w:rPr>
          <w:rFonts w:hint="eastAsia" w:eastAsia="仿宋_GB2312" w:cs="仿宋_GB2312"/>
          <w:snapToGrid w:val="0"/>
          <w:kern w:val="0"/>
          <w:sz w:val="32"/>
          <w:szCs w:val="32"/>
          <w:lang w:val="en-US" w:eastAsia="zh-CN"/>
        </w:rPr>
        <w:t>4.</w:t>
      </w:r>
      <w:r>
        <w:rPr>
          <w:rFonts w:eastAsia="仿宋_GB2312" w:cs="仿宋_GB2312"/>
          <w:snapToGrid w:val="0"/>
          <w:kern w:val="0"/>
          <w:sz w:val="32"/>
          <w:szCs w:val="32"/>
        </w:rPr>
        <w:t>3.</w:t>
      </w:r>
      <w:r>
        <w:rPr>
          <w:rFonts w:hint="eastAsia" w:eastAsia="仿宋_GB2312" w:cs="仿宋_GB2312"/>
          <w:snapToGrid w:val="0"/>
          <w:kern w:val="0"/>
          <w:sz w:val="32"/>
          <w:szCs w:val="32"/>
        </w:rPr>
        <w:t>软件</w:t>
      </w:r>
      <w:r>
        <w:rPr>
          <w:rFonts w:eastAsia="仿宋_GB2312" w:cs="仿宋_GB2312"/>
          <w:snapToGrid w:val="0"/>
          <w:kern w:val="0"/>
          <w:sz w:val="32"/>
          <w:szCs w:val="32"/>
        </w:rPr>
        <w:t>研究</w:t>
      </w:r>
    </w:p>
    <w:p>
      <w:pPr>
        <w:spacing w:line="520" w:lineRule="exact"/>
        <w:ind w:firstLine="640" w:firstLineChars="200"/>
        <w:rPr>
          <w:rFonts w:hint="eastAsia" w:ascii="Times New Roman" w:hAnsi="Times New Roman" w:eastAsia="仿宋_GB2312"/>
          <w:color w:val="auto"/>
          <w:sz w:val="32"/>
          <w:szCs w:val="32"/>
        </w:rPr>
      </w:pPr>
      <w:r>
        <w:rPr>
          <w:rFonts w:hint="eastAsia" w:ascii="Times New Roman" w:hAnsi="Times New Roman" w:eastAsia="仿宋_GB2312"/>
          <w:color w:val="auto"/>
          <w:sz w:val="32"/>
          <w:szCs w:val="32"/>
        </w:rPr>
        <w:t>软件研究应参见《医疗器械软件注册审查指导原则</w:t>
      </w:r>
      <w:r>
        <w:rPr>
          <w:rFonts w:hint="eastAsia" w:eastAsia="仿宋_GB2312"/>
          <w:color w:val="auto"/>
          <w:sz w:val="32"/>
          <w:szCs w:val="32"/>
          <w:lang w:eastAsia="zh-CN"/>
        </w:rPr>
        <w:t>（</w:t>
      </w:r>
      <w:r>
        <w:rPr>
          <w:rFonts w:hint="eastAsia" w:ascii="Times New Roman" w:hAnsi="Times New Roman" w:eastAsia="仿宋_GB2312"/>
          <w:color w:val="auto"/>
          <w:sz w:val="32"/>
          <w:szCs w:val="32"/>
        </w:rPr>
        <w:t>2022年修订版</w:t>
      </w:r>
      <w:r>
        <w:rPr>
          <w:rFonts w:hint="eastAsia" w:eastAsia="仿宋_GB2312"/>
          <w:color w:val="auto"/>
          <w:sz w:val="32"/>
          <w:szCs w:val="32"/>
          <w:lang w:eastAsia="zh-CN"/>
        </w:rPr>
        <w:t>）</w:t>
      </w:r>
      <w:r>
        <w:rPr>
          <w:rFonts w:hint="eastAsia" w:ascii="Times New Roman" w:hAnsi="Times New Roman" w:eastAsia="仿宋_GB2312"/>
          <w:color w:val="auto"/>
          <w:sz w:val="32"/>
          <w:szCs w:val="32"/>
        </w:rPr>
        <w:t>》</w:t>
      </w:r>
      <w:r>
        <w:rPr>
          <w:rFonts w:eastAsia="仿宋_GB2312"/>
          <w:snapToGrid w:val="0"/>
          <w:color w:val="auto"/>
          <w:kern w:val="0"/>
          <w:sz w:val="32"/>
          <w:szCs w:val="32"/>
        </w:rPr>
        <w:t>提交相应软件</w:t>
      </w:r>
      <w:r>
        <w:rPr>
          <w:rFonts w:hint="eastAsia" w:eastAsia="仿宋_GB2312"/>
          <w:snapToGrid w:val="0"/>
          <w:color w:val="auto"/>
          <w:kern w:val="0"/>
          <w:sz w:val="32"/>
          <w:szCs w:val="32"/>
        </w:rPr>
        <w:t>研究资料</w:t>
      </w:r>
      <w:r>
        <w:rPr>
          <w:rFonts w:eastAsia="仿宋_GB2312"/>
          <w:snapToGrid w:val="0"/>
          <w:color w:val="auto"/>
          <w:kern w:val="0"/>
          <w:sz w:val="32"/>
          <w:szCs w:val="32"/>
        </w:rPr>
        <w:t>。</w:t>
      </w:r>
      <w:r>
        <w:rPr>
          <w:rFonts w:hint="eastAsia" w:ascii="Times New Roman" w:hAnsi="Times New Roman" w:eastAsia="仿宋_GB2312"/>
          <w:color w:val="auto"/>
          <w:sz w:val="32"/>
          <w:szCs w:val="32"/>
        </w:rPr>
        <w:t>包括基本信息、实现过程、核心功能、结论等内容，详尽程度取决于软件安全性级别（严重、中等、轻微）。其中，基本信息包括软件标识、安全性级别、结构功能、物理拓扑、运行环境、注册历史，实现过程包括开发概况、风险管理、需求规范、生存周期、验证与确认、可追溯性分析、缺陷管理、更新历史，明确核心功能、核心算法、预期用途的对应关系。</w:t>
      </w:r>
      <w:r>
        <w:rPr>
          <w:rFonts w:eastAsia="仿宋_GB2312"/>
          <w:color w:val="000000"/>
          <w:sz w:val="32"/>
          <w:szCs w:val="32"/>
        </w:rPr>
        <w:t>根据</w:t>
      </w:r>
      <w:r>
        <w:rPr>
          <w:rFonts w:hint="eastAsia" w:eastAsia="仿宋_GB2312"/>
          <w:color w:val="000000"/>
          <w:sz w:val="32"/>
          <w:szCs w:val="32"/>
          <w:lang w:val="en-US" w:eastAsia="zh-CN"/>
        </w:rPr>
        <w:t>电子血压计（示波法）</w:t>
      </w:r>
      <w:r>
        <w:rPr>
          <w:rFonts w:eastAsia="仿宋_GB2312"/>
          <w:color w:val="000000"/>
          <w:sz w:val="32"/>
          <w:szCs w:val="32"/>
        </w:rPr>
        <w:t>的工作原理，结合其预期用途、使用环境、核心功能，建议软件按安全性级别不低于</w:t>
      </w:r>
      <w:r>
        <w:rPr>
          <w:rFonts w:eastAsia="仿宋_GB2312"/>
          <w:color w:val="auto"/>
          <w:sz w:val="32"/>
          <w:szCs w:val="32"/>
        </w:rPr>
        <w:t>B</w:t>
      </w:r>
      <w:r>
        <w:rPr>
          <w:rFonts w:eastAsia="仿宋_GB2312"/>
          <w:color w:val="000000"/>
          <w:sz w:val="32"/>
          <w:szCs w:val="32"/>
        </w:rPr>
        <w:t>级进行管理。</w:t>
      </w:r>
    </w:p>
    <w:p>
      <w:pPr>
        <w:spacing w:line="520" w:lineRule="exact"/>
        <w:ind w:firstLine="640" w:firstLineChars="200"/>
        <w:rPr>
          <w:rFonts w:eastAsia="仿宋_GB2312"/>
          <w:snapToGrid w:val="0"/>
          <w:color w:val="auto"/>
          <w:kern w:val="0"/>
          <w:sz w:val="32"/>
          <w:szCs w:val="32"/>
        </w:rPr>
      </w:pPr>
      <w:r>
        <w:rPr>
          <w:rFonts w:hint="eastAsia" w:ascii="Times New Roman" w:hAnsi="Times New Roman" w:eastAsia="仿宋_GB2312"/>
          <w:color w:val="auto"/>
          <w:sz w:val="32"/>
          <w:szCs w:val="32"/>
        </w:rPr>
        <w:t>具备电子数据交换、远程控制或用户访问功能的</w:t>
      </w:r>
      <w:r>
        <w:rPr>
          <w:rFonts w:eastAsia="仿宋_GB2312"/>
          <w:color w:val="000000"/>
          <w:sz w:val="32"/>
          <w:szCs w:val="32"/>
        </w:rPr>
        <w:t>（目前已有产品可通过蓝牙连接进行电子数据交换）</w:t>
      </w:r>
      <w:r>
        <w:rPr>
          <w:rFonts w:hint="eastAsia" w:eastAsia="仿宋_GB2312"/>
          <w:snapToGrid w:val="0"/>
          <w:color w:val="auto"/>
          <w:kern w:val="0"/>
          <w:sz w:val="32"/>
          <w:szCs w:val="32"/>
          <w:lang w:val="en-US" w:eastAsia="zh-CN"/>
        </w:rPr>
        <w:t>，应参见《医疗器械网络安全注册审查指导原则（2022年修订版）》提交网络安全研究资料</w:t>
      </w:r>
      <w:r>
        <w:rPr>
          <w:rFonts w:eastAsia="仿宋_GB2312"/>
          <w:snapToGrid w:val="0"/>
          <w:color w:val="auto"/>
          <w:kern w:val="0"/>
          <w:sz w:val="32"/>
          <w:szCs w:val="32"/>
        </w:rPr>
        <w:t>。包括基本信息、实现过程、漏洞评估、结论等内容，详尽程度取决于软件安全性级别。其中，基本信息包括软件信息、数据架构、网络安全能力、网络安全补丁、安全软件，实现过程包括风险管理、需求规范、验证与确认、可追溯性分析、更新维护计划，漏洞评估明确已知漏洞相关信息。</w:t>
      </w:r>
    </w:p>
    <w:p>
      <w:pPr>
        <w:overflowPunct w:val="0"/>
        <w:autoSpaceDE w:val="0"/>
        <w:autoSpaceDN w:val="0"/>
        <w:spacing w:line="520" w:lineRule="exact"/>
        <w:ind w:firstLine="640" w:firstLineChars="200"/>
        <w:outlineLvl w:val="2"/>
        <w:rPr>
          <w:rFonts w:hint="eastAsia" w:eastAsia="仿宋_GB2312" w:cs="仿宋_GB2312"/>
          <w:snapToGrid w:val="0"/>
          <w:kern w:val="0"/>
          <w:sz w:val="32"/>
          <w:szCs w:val="32"/>
          <w:lang w:val="en-US" w:eastAsia="zh-CN"/>
        </w:rPr>
      </w:pPr>
      <w:r>
        <w:rPr>
          <w:rFonts w:hint="eastAsia" w:eastAsia="仿宋_GB2312" w:cs="仿宋_GB2312"/>
          <w:snapToGrid w:val="0"/>
          <w:kern w:val="0"/>
          <w:sz w:val="32"/>
          <w:szCs w:val="32"/>
          <w:lang w:val="en-US" w:eastAsia="zh-CN"/>
        </w:rPr>
        <w:t>4.3生物学特性研究</w:t>
      </w:r>
    </w:p>
    <w:p>
      <w:pPr>
        <w:overflowPunct w:val="0"/>
        <w:autoSpaceDE w:val="0"/>
        <w:autoSpaceDN w:val="0"/>
        <w:spacing w:line="520" w:lineRule="exact"/>
        <w:ind w:firstLine="640" w:firstLineChars="200"/>
        <w:outlineLvl w:val="2"/>
        <w:rPr>
          <w:rFonts w:hint="eastAsia" w:eastAsia="仿宋_GB2312" w:cs="仿宋_GB2312"/>
          <w:snapToGrid w:val="0"/>
          <w:kern w:val="0"/>
          <w:sz w:val="32"/>
          <w:szCs w:val="32"/>
          <w:lang w:val="en-US" w:eastAsia="zh-CN"/>
        </w:rPr>
      </w:pPr>
      <w:r>
        <w:rPr>
          <w:rFonts w:hint="eastAsia" w:eastAsia="仿宋_GB2312" w:cs="仿宋_GB2312"/>
          <w:snapToGrid w:val="0"/>
          <w:kern w:val="0"/>
          <w:sz w:val="32"/>
          <w:szCs w:val="32"/>
          <w:lang w:val="en-US" w:eastAsia="zh-CN"/>
        </w:rPr>
        <w:t>生物学特性评价根据GB/T 16886.1标准进行，企业的申报资料应描述电子血压计所用材料及其与人体接触的性质，如：产品袖带（腕带）所采用的材料，与人体接触为直接接触。生物学特性评价研究应给出实施或豁免生物学试验的理由和论证，并对现有数据或试验结果进行评价。建议电子血压计与患者接触部件至少考虑以下方面的要求：细胞毒性2级（或依据ISO10993.5—2017Biological evaluation of medical devices -- Part 5: Tests for in vitro cytotoxicity不超过2级）；应无迟发型超敏反应；皮肤刺激应不大于1级。</w:t>
      </w:r>
    </w:p>
    <w:p>
      <w:pPr>
        <w:pStyle w:val="61"/>
        <w:spacing w:line="520" w:lineRule="exact"/>
        <w:ind w:firstLine="640"/>
        <w:rPr>
          <w:rFonts w:ascii="Times New Roman" w:hAnsi="Times New Roman" w:eastAsia="仿宋_GB2312"/>
          <w:sz w:val="32"/>
          <w:szCs w:val="32"/>
        </w:rPr>
      </w:pPr>
      <w:r>
        <w:rPr>
          <w:rFonts w:hint="eastAsia" w:ascii="Times New Roman" w:hAnsi="Times New Roman" w:eastAsia="仿宋_GB2312"/>
          <w:sz w:val="32"/>
          <w:szCs w:val="32"/>
          <w:lang w:val="en-US" w:eastAsia="zh-CN"/>
        </w:rPr>
        <w:t>4</w:t>
      </w:r>
      <w:r>
        <w:rPr>
          <w:rFonts w:ascii="Times New Roman" w:hAnsi="Times New Roman" w:eastAsia="仿宋_GB2312"/>
          <w:sz w:val="32"/>
          <w:szCs w:val="32"/>
        </w:rPr>
        <w:t>.4</w:t>
      </w:r>
      <w:r>
        <w:rPr>
          <w:rFonts w:eastAsia="仿宋_GB2312"/>
          <w:color w:val="000000"/>
          <w:sz w:val="32"/>
          <w:szCs w:val="32"/>
        </w:rPr>
        <w:t>清洁、消毒、灭菌研究</w:t>
      </w:r>
    </w:p>
    <w:p>
      <w:pPr>
        <w:pStyle w:val="61"/>
        <w:spacing w:line="520" w:lineRule="exact"/>
        <w:ind w:firstLine="640"/>
        <w:rPr>
          <w:rFonts w:hint="eastAsia" w:eastAsia="仿宋_GB2312"/>
          <w:bCs/>
          <w:color w:val="auto"/>
          <w:sz w:val="32"/>
          <w:szCs w:val="32"/>
          <w:lang w:eastAsia="zh-CN"/>
        </w:rPr>
      </w:pPr>
      <w:r>
        <w:rPr>
          <w:rFonts w:hint="eastAsia" w:ascii="Times New Roman" w:hAnsi="Times New Roman" w:eastAsia="仿宋_GB2312"/>
          <w:color w:val="auto"/>
          <w:sz w:val="32"/>
          <w:szCs w:val="32"/>
          <w:lang w:val="en-US" w:eastAsia="zh-CN"/>
        </w:rPr>
        <w:t>对于主机及袖带，应提供清洁、消毒的研究资料。</w:t>
      </w:r>
      <w:r>
        <w:rPr>
          <w:rFonts w:eastAsia="仿宋_GB2312"/>
          <w:bCs/>
          <w:color w:val="auto"/>
          <w:sz w:val="32"/>
          <w:szCs w:val="32"/>
        </w:rPr>
        <w:t>应当明确推荐的清洗和消毒工艺（方法和参数）、工艺的确定依据以及验证的相关研究资料</w:t>
      </w:r>
      <w:r>
        <w:rPr>
          <w:rFonts w:hint="eastAsia" w:eastAsia="仿宋_GB2312"/>
          <w:bCs/>
          <w:color w:val="auto"/>
          <w:sz w:val="32"/>
          <w:szCs w:val="32"/>
          <w:lang w:eastAsia="zh-CN"/>
        </w:rPr>
        <w:t>。</w:t>
      </w:r>
    </w:p>
    <w:p>
      <w:pPr>
        <w:pStyle w:val="61"/>
        <w:spacing w:line="520" w:lineRule="exact"/>
        <w:ind w:firstLine="640"/>
        <w:rPr>
          <w:rFonts w:hint="default" w:ascii="Times New Roman" w:hAnsi="Times New Roman" w:eastAsia="仿宋_GB2312"/>
          <w:sz w:val="32"/>
          <w:szCs w:val="32"/>
          <w:lang w:val="en-US" w:eastAsia="zh-CN"/>
        </w:rPr>
      </w:pPr>
      <w:r>
        <w:rPr>
          <w:rFonts w:hint="default" w:ascii="Times New Roman" w:hAnsi="Times New Roman" w:eastAsia="仿宋_GB2312"/>
          <w:sz w:val="32"/>
          <w:szCs w:val="32"/>
          <w:lang w:val="en-US" w:eastAsia="zh-CN"/>
        </w:rPr>
        <w:t>4.</w:t>
      </w:r>
      <w:r>
        <w:rPr>
          <w:rFonts w:hint="eastAsia" w:ascii="Times New Roman" w:hAnsi="Times New Roman" w:eastAsia="仿宋_GB2312"/>
          <w:sz w:val="32"/>
          <w:szCs w:val="32"/>
          <w:lang w:val="en-US" w:eastAsia="zh-CN"/>
        </w:rPr>
        <w:t>5</w:t>
      </w:r>
      <w:r>
        <w:rPr>
          <w:rFonts w:hint="default" w:ascii="Times New Roman" w:hAnsi="Times New Roman" w:eastAsia="仿宋_GB2312"/>
          <w:sz w:val="32"/>
          <w:szCs w:val="32"/>
          <w:lang w:val="en-US" w:eastAsia="zh-CN"/>
        </w:rPr>
        <w:t>稳定性研究</w:t>
      </w:r>
    </w:p>
    <w:p>
      <w:pPr>
        <w:pStyle w:val="61"/>
        <w:spacing w:line="520" w:lineRule="exact"/>
        <w:ind w:firstLine="640"/>
        <w:rPr>
          <w:rFonts w:hint="default" w:ascii="Times New Roman" w:hAnsi="Times New Roman" w:eastAsia="仿宋_GB2312"/>
          <w:sz w:val="32"/>
          <w:szCs w:val="32"/>
          <w:lang w:val="en-US" w:eastAsia="zh-CN"/>
        </w:rPr>
      </w:pPr>
      <w:r>
        <w:rPr>
          <w:rFonts w:hint="default" w:ascii="Times New Roman" w:hAnsi="Times New Roman" w:eastAsia="仿宋_GB2312"/>
          <w:sz w:val="32"/>
          <w:szCs w:val="32"/>
          <w:lang w:val="en-US" w:eastAsia="zh-CN"/>
        </w:rPr>
        <w:t>4.</w:t>
      </w:r>
      <w:r>
        <w:rPr>
          <w:rFonts w:hint="eastAsia" w:ascii="Times New Roman" w:hAnsi="Times New Roman" w:eastAsia="仿宋_GB2312"/>
          <w:sz w:val="32"/>
          <w:szCs w:val="32"/>
          <w:lang w:val="en-US" w:eastAsia="zh-CN"/>
        </w:rPr>
        <w:t>5</w:t>
      </w:r>
      <w:r>
        <w:rPr>
          <w:rFonts w:hint="default" w:ascii="Times New Roman" w:hAnsi="Times New Roman" w:eastAsia="仿宋_GB2312"/>
          <w:sz w:val="32"/>
          <w:szCs w:val="32"/>
          <w:lang w:val="en-US" w:eastAsia="zh-CN"/>
        </w:rPr>
        <w:t>.1</w:t>
      </w:r>
      <w:r>
        <w:rPr>
          <w:rFonts w:hint="eastAsia" w:ascii="Times New Roman" w:hAnsi="Times New Roman" w:eastAsia="仿宋_GB2312"/>
          <w:sz w:val="32"/>
          <w:szCs w:val="32"/>
          <w:lang w:val="en-US" w:eastAsia="zh-CN"/>
        </w:rPr>
        <w:t>使用稳定性</w:t>
      </w:r>
    </w:p>
    <w:p>
      <w:pPr>
        <w:pStyle w:val="61"/>
        <w:spacing w:line="520" w:lineRule="exact"/>
        <w:rPr>
          <w:rFonts w:hint="eastAsia" w:ascii="Times New Roman" w:hAnsi="Times New Roman" w:eastAsia="仿宋_GB2312"/>
          <w:sz w:val="32"/>
          <w:szCs w:val="32"/>
          <w:highlight w:val="yellow"/>
          <w:lang w:val="en-US" w:eastAsia="zh-CN"/>
        </w:rPr>
      </w:pPr>
      <w:r>
        <w:rPr>
          <w:rFonts w:hint="default" w:ascii="Times New Roman" w:hAnsi="Times New Roman" w:eastAsia="仿宋_GB2312"/>
          <w:sz w:val="32"/>
          <w:szCs w:val="32"/>
          <w:lang w:val="en-US" w:eastAsia="zh-CN"/>
        </w:rPr>
        <w:t>需参照《</w:t>
      </w:r>
      <w:r>
        <w:rPr>
          <w:rFonts w:hint="eastAsia" w:ascii="Times New Roman" w:hAnsi="Times New Roman" w:eastAsia="仿宋_GB2312"/>
          <w:sz w:val="32"/>
          <w:szCs w:val="32"/>
          <w:lang w:val="en-US" w:eastAsia="zh-CN"/>
        </w:rPr>
        <w:t>有源医疗器械使用期限注册技术审查指导原则</w:t>
      </w:r>
      <w:r>
        <w:rPr>
          <w:rFonts w:hint="default" w:ascii="Times New Roman" w:hAnsi="Times New Roman" w:eastAsia="仿宋_GB2312"/>
          <w:sz w:val="32"/>
          <w:szCs w:val="32"/>
          <w:lang w:val="en-US" w:eastAsia="zh-CN"/>
        </w:rPr>
        <w:t>》提供产品</w:t>
      </w:r>
      <w:r>
        <w:rPr>
          <w:rFonts w:hint="eastAsia" w:ascii="Times New Roman" w:hAnsi="Times New Roman" w:eastAsia="仿宋_GB2312"/>
          <w:sz w:val="32"/>
          <w:szCs w:val="32"/>
          <w:lang w:val="en-US" w:eastAsia="zh-CN"/>
        </w:rPr>
        <w:t>使用稳定性</w:t>
      </w:r>
      <w:r>
        <w:rPr>
          <w:rFonts w:hint="default" w:ascii="Times New Roman" w:hAnsi="Times New Roman" w:eastAsia="仿宋_GB2312"/>
          <w:sz w:val="32"/>
          <w:szCs w:val="32"/>
          <w:lang w:val="en-US" w:eastAsia="zh-CN"/>
        </w:rPr>
        <w:t>的验证资料。</w:t>
      </w:r>
      <w:r>
        <w:rPr>
          <w:rFonts w:eastAsia="仿宋_GB2312"/>
          <w:color w:val="000000"/>
          <w:sz w:val="32"/>
          <w:szCs w:val="32"/>
        </w:rPr>
        <w:t>如：加速老化试验报告、疲劳试验报告、不可拆卸电池使用寿命验证资料、依据具有固定使用期限的关键组件评估产品有效期的评价报告</w:t>
      </w:r>
      <w:r>
        <w:rPr>
          <w:rFonts w:hint="eastAsia" w:eastAsia="仿宋_GB2312"/>
          <w:color w:val="000000"/>
          <w:sz w:val="32"/>
          <w:szCs w:val="32"/>
          <w:lang w:eastAsia="zh-CN"/>
        </w:rPr>
        <w:t>。</w:t>
      </w:r>
    </w:p>
    <w:p>
      <w:pPr>
        <w:pStyle w:val="61"/>
        <w:spacing w:line="520" w:lineRule="exact"/>
        <w:ind w:firstLine="640"/>
        <w:rPr>
          <w:rFonts w:hint="default" w:ascii="Times New Roman" w:hAnsi="Times New Roman" w:eastAsia="仿宋_GB2312"/>
          <w:sz w:val="32"/>
          <w:szCs w:val="32"/>
          <w:lang w:val="en-US" w:eastAsia="zh-CN"/>
        </w:rPr>
      </w:pPr>
      <w:r>
        <w:rPr>
          <w:rFonts w:hint="default" w:ascii="Times New Roman" w:hAnsi="Times New Roman" w:eastAsia="仿宋_GB2312"/>
          <w:sz w:val="32"/>
          <w:szCs w:val="32"/>
          <w:lang w:val="en-US" w:eastAsia="zh-CN"/>
        </w:rPr>
        <w:t>4.</w:t>
      </w:r>
      <w:r>
        <w:rPr>
          <w:rFonts w:hint="eastAsia" w:ascii="Times New Roman" w:hAnsi="Times New Roman" w:eastAsia="仿宋_GB2312"/>
          <w:sz w:val="32"/>
          <w:szCs w:val="32"/>
          <w:lang w:val="en-US" w:eastAsia="zh-CN"/>
        </w:rPr>
        <w:t>5</w:t>
      </w:r>
      <w:r>
        <w:rPr>
          <w:rFonts w:hint="default" w:ascii="Times New Roman" w:hAnsi="Times New Roman" w:eastAsia="仿宋_GB2312"/>
          <w:sz w:val="32"/>
          <w:szCs w:val="32"/>
          <w:lang w:val="en-US" w:eastAsia="zh-CN"/>
        </w:rPr>
        <w:t>.2运输稳定性</w:t>
      </w:r>
    </w:p>
    <w:p>
      <w:pPr>
        <w:pStyle w:val="61"/>
        <w:spacing w:line="520" w:lineRule="exact"/>
        <w:ind w:firstLine="640"/>
        <w:rPr>
          <w:rFonts w:hint="default" w:ascii="Times New Roman" w:hAnsi="Times New Roman" w:eastAsia="仿宋_GB2312"/>
          <w:sz w:val="32"/>
          <w:szCs w:val="32"/>
          <w:lang w:val="en-US" w:eastAsia="zh-CN"/>
        </w:rPr>
      </w:pPr>
      <w:r>
        <w:rPr>
          <w:rFonts w:hint="default" w:ascii="Times New Roman" w:hAnsi="Times New Roman" w:eastAsia="仿宋_GB2312"/>
          <w:sz w:val="32"/>
          <w:szCs w:val="32"/>
          <w:lang w:val="en-US" w:eastAsia="zh-CN"/>
        </w:rPr>
        <w:t>需提交运输稳定性验证资料，证明在规定的运输条件下，运输过程中环境条件（例如：震动、振动、温度和湿度的波动）不会对医疗器械的特性和性能，包括完整性和清洁度，造成不利影响。</w:t>
      </w:r>
    </w:p>
    <w:p>
      <w:pPr>
        <w:pStyle w:val="61"/>
        <w:spacing w:line="520" w:lineRule="exact"/>
        <w:ind w:firstLine="640"/>
        <w:rPr>
          <w:rFonts w:hint="eastAsia" w:ascii="Times New Roman" w:hAnsi="Times New Roman" w:eastAsia="仿宋_GB2312"/>
          <w:sz w:val="32"/>
          <w:szCs w:val="32"/>
          <w:lang w:val="en-US" w:eastAsia="zh-CN"/>
        </w:rPr>
      </w:pPr>
      <w:r>
        <w:rPr>
          <w:rFonts w:hint="eastAsia" w:ascii="Times New Roman" w:hAnsi="Times New Roman" w:eastAsia="仿宋_GB2312"/>
          <w:sz w:val="32"/>
          <w:szCs w:val="32"/>
          <w:lang w:val="en-US" w:eastAsia="zh-CN"/>
        </w:rPr>
        <w:t>5.其他资料</w:t>
      </w:r>
    </w:p>
    <w:p>
      <w:pPr>
        <w:spacing w:line="520" w:lineRule="exact"/>
        <w:ind w:firstLine="640" w:firstLineChars="200"/>
        <w:rPr>
          <w:rFonts w:hint="eastAsia" w:eastAsia="仿宋_GB2312"/>
          <w:color w:val="FF0000"/>
          <w:sz w:val="32"/>
          <w:szCs w:val="32"/>
          <w:lang w:val="en-US" w:eastAsia="zh-CN"/>
        </w:rPr>
      </w:pPr>
      <w:r>
        <w:rPr>
          <w:rFonts w:hint="eastAsia" w:eastAsia="仿宋_GB2312"/>
          <w:color w:val="000000"/>
          <w:sz w:val="32"/>
          <w:szCs w:val="32"/>
          <w:lang w:val="en-US" w:eastAsia="zh-CN"/>
        </w:rPr>
        <w:t>电子血压计（示波法）</w:t>
      </w:r>
      <w:r>
        <w:rPr>
          <w:rFonts w:eastAsia="仿宋_GB2312"/>
          <w:color w:val="000000"/>
          <w:sz w:val="32"/>
          <w:szCs w:val="32"/>
        </w:rPr>
        <w:t>属于免于进行临床评价的医疗器械，申请人应按照《列入免于进行临床评价医疗器械目录产品对比说明技术指导原则》的要求</w:t>
      </w:r>
      <w:r>
        <w:rPr>
          <w:rFonts w:hint="eastAsia" w:eastAsia="仿宋_GB2312"/>
          <w:color w:val="000000"/>
          <w:sz w:val="32"/>
          <w:szCs w:val="32"/>
          <w:lang w:eastAsia="zh-CN"/>
        </w:rPr>
        <w:t>，</w:t>
      </w:r>
      <w:r>
        <w:rPr>
          <w:rFonts w:eastAsia="仿宋_GB2312"/>
          <w:color w:val="000000"/>
          <w:sz w:val="32"/>
          <w:szCs w:val="32"/>
        </w:rPr>
        <w:t>从基本原理、结构组成、性能、安全性、适用范围等方面，证明产品的安全有效性。</w:t>
      </w:r>
      <w:r>
        <w:rPr>
          <w:rFonts w:hint="eastAsia" w:eastAsia="仿宋_GB2312"/>
          <w:color w:val="FF0000"/>
          <w:sz w:val="32"/>
          <w:szCs w:val="32"/>
          <w:lang w:val="en-US" w:eastAsia="zh-CN"/>
        </w:rPr>
        <w:t xml:space="preserve">  </w:t>
      </w:r>
    </w:p>
    <w:p>
      <w:pPr>
        <w:spacing w:line="520" w:lineRule="exact"/>
        <w:ind w:firstLine="640" w:firstLineChars="200"/>
        <w:rPr>
          <w:rFonts w:eastAsia="楷体_GB2312"/>
          <w:color w:val="000000"/>
          <w:sz w:val="32"/>
          <w:szCs w:val="32"/>
        </w:rPr>
      </w:pPr>
      <w:r>
        <w:rPr>
          <w:rFonts w:hint="eastAsia" w:eastAsia="楷体_GB2312"/>
          <w:color w:val="000000"/>
          <w:sz w:val="32"/>
          <w:szCs w:val="32"/>
        </w:rPr>
        <w:t>（四）</w:t>
      </w:r>
      <w:r>
        <w:rPr>
          <w:rFonts w:eastAsia="楷体_GB2312"/>
          <w:color w:val="000000"/>
          <w:sz w:val="32"/>
          <w:szCs w:val="32"/>
        </w:rPr>
        <w:t>临床评价资料</w:t>
      </w:r>
    </w:p>
    <w:p>
      <w:pPr>
        <w:widowControl/>
        <w:spacing w:line="520" w:lineRule="exact"/>
        <w:ind w:firstLine="425" w:firstLineChars="133"/>
        <w:outlineLvl w:val="0"/>
        <w:rPr>
          <w:rFonts w:eastAsia="仿宋_GB2312"/>
          <w:color w:val="000000"/>
          <w:sz w:val="32"/>
          <w:szCs w:val="32"/>
        </w:rPr>
      </w:pPr>
      <w:r>
        <w:rPr>
          <w:rFonts w:hint="eastAsia" w:eastAsia="仿宋_GB2312"/>
          <w:color w:val="000000"/>
          <w:sz w:val="32"/>
          <w:szCs w:val="32"/>
        </w:rPr>
        <w:t>该产品</w:t>
      </w:r>
      <w:r>
        <w:rPr>
          <w:rFonts w:eastAsia="仿宋_GB2312"/>
          <w:color w:val="000000"/>
          <w:sz w:val="32"/>
          <w:szCs w:val="32"/>
        </w:rPr>
        <w:t>列入《</w:t>
      </w:r>
      <w:r>
        <w:rPr>
          <w:rFonts w:hint="eastAsia" w:eastAsia="仿宋_GB2312"/>
          <w:color w:val="000000"/>
          <w:sz w:val="32"/>
          <w:szCs w:val="32"/>
        </w:rPr>
        <w:t>免于临床评价医疗器械目录</w:t>
      </w:r>
      <w:r>
        <w:rPr>
          <w:rFonts w:eastAsia="仿宋_GB2312"/>
          <w:color w:val="000000"/>
          <w:sz w:val="32"/>
          <w:szCs w:val="32"/>
        </w:rPr>
        <w:t>》</w:t>
      </w:r>
      <w:r>
        <w:rPr>
          <w:rFonts w:hint="eastAsia" w:eastAsia="仿宋_GB2312"/>
          <w:color w:val="000000"/>
          <w:sz w:val="32"/>
          <w:szCs w:val="32"/>
        </w:rPr>
        <w:t>，申请人</w:t>
      </w:r>
      <w:r>
        <w:rPr>
          <w:rFonts w:eastAsia="仿宋_GB2312"/>
          <w:color w:val="000000"/>
          <w:sz w:val="32"/>
          <w:szCs w:val="32"/>
        </w:rPr>
        <w:t>无需提交</w:t>
      </w:r>
      <w:r>
        <w:rPr>
          <w:rFonts w:hint="eastAsia" w:eastAsia="仿宋_GB2312"/>
          <w:color w:val="000000"/>
          <w:sz w:val="32"/>
          <w:szCs w:val="32"/>
        </w:rPr>
        <w:t>临床</w:t>
      </w:r>
      <w:r>
        <w:rPr>
          <w:rFonts w:eastAsia="仿宋_GB2312"/>
          <w:color w:val="000000"/>
          <w:sz w:val="32"/>
          <w:szCs w:val="32"/>
        </w:rPr>
        <w:t>评价资料。</w:t>
      </w:r>
    </w:p>
    <w:p>
      <w:pPr>
        <w:spacing w:line="560" w:lineRule="exact"/>
        <w:ind w:firstLine="640" w:firstLineChars="200"/>
        <w:rPr>
          <w:rFonts w:hint="eastAsia" w:ascii="Times New Roman" w:hAnsi="Times New Roman" w:eastAsia="仿宋_GB2312"/>
          <w:sz w:val="32"/>
          <w:szCs w:val="32"/>
          <w:lang w:val="en-US" w:eastAsia="zh-CN"/>
        </w:rPr>
      </w:pPr>
      <w:r>
        <w:rPr>
          <w:rFonts w:eastAsia="楷体_GB2312"/>
          <w:color w:val="000000"/>
          <w:sz w:val="32"/>
          <w:szCs w:val="32"/>
        </w:rPr>
        <w:t>（五）产品说明书和标签样稿</w:t>
      </w:r>
    </w:p>
    <w:p>
      <w:pPr>
        <w:spacing w:line="560" w:lineRule="exact"/>
        <w:ind w:firstLine="640" w:firstLineChars="200"/>
        <w:rPr>
          <w:rFonts w:hint="eastAsia" w:ascii="Times New Roman" w:hAnsi="Times New Roman" w:eastAsia="仿宋_GB2312"/>
          <w:sz w:val="32"/>
          <w:szCs w:val="32"/>
          <w:lang w:val="en-US" w:eastAsia="zh-CN"/>
        </w:rPr>
      </w:pPr>
      <w:r>
        <w:rPr>
          <w:rFonts w:eastAsia="楷体_GB2312"/>
          <w:color w:val="000000"/>
          <w:sz w:val="32"/>
          <w:szCs w:val="32"/>
        </w:rPr>
        <w:t>（五）产品说明书和标签样稿</w:t>
      </w:r>
    </w:p>
    <w:p>
      <w:pPr>
        <w:widowControl w:val="0"/>
        <w:spacing w:line="520" w:lineRule="exact"/>
        <w:ind w:firstLine="640" w:firstLineChars="200"/>
        <w:rPr>
          <w:rFonts w:hint="default" w:ascii="Times New Roman" w:hAnsi="Times New Roman" w:eastAsia="仿宋_GB2312" w:cs="Times New Roman"/>
          <w:sz w:val="32"/>
          <w:szCs w:val="32"/>
          <w:highlight w:val="yellow"/>
          <w:lang w:val="en-US" w:eastAsia="zh-CN"/>
        </w:rPr>
      </w:pPr>
      <w:r>
        <w:rPr>
          <w:rFonts w:hint="eastAsia" w:ascii="Times New Roman" w:hAnsi="Times New Roman" w:eastAsia="仿宋_GB2312" w:cs="Times New Roman"/>
          <w:sz w:val="32"/>
          <w:szCs w:val="32"/>
        </w:rPr>
        <w:t>电子血压计产品的说明书、标签和包装标识应符合《医疗器械说明书和标签管理规定》和</w:t>
      </w:r>
      <w:r>
        <w:rPr>
          <w:rFonts w:ascii="Times New Roman" w:hAnsi="Times New Roman" w:eastAsia="仿宋_GB2312" w:cs="Times New Roman"/>
          <w:color w:val="auto"/>
          <w:sz w:val="32"/>
          <w:szCs w:val="32"/>
          <w:highlight w:val="none"/>
        </w:rPr>
        <w:t>YY/T 0466.1</w:t>
      </w:r>
      <w:r>
        <w:rPr>
          <w:rFonts w:hint="eastAsia" w:eastAsia="仿宋_GB2312" w:cs="Times New Roman"/>
          <w:color w:val="auto"/>
          <w:sz w:val="32"/>
          <w:szCs w:val="32"/>
          <w:highlight w:val="none"/>
          <w:lang w:val="en-US" w:eastAsia="zh-CN"/>
        </w:rPr>
        <w:t>-</w:t>
      </w:r>
      <w:r>
        <w:rPr>
          <w:rFonts w:ascii="Times New Roman" w:hAnsi="Times New Roman" w:eastAsia="仿宋_GB2312" w:cs="Times New Roman"/>
          <w:color w:val="auto"/>
          <w:sz w:val="32"/>
          <w:szCs w:val="32"/>
          <w:highlight w:val="none"/>
        </w:rPr>
        <w:t>20</w:t>
      </w:r>
      <w:r>
        <w:rPr>
          <w:rFonts w:hint="eastAsia" w:eastAsia="仿宋_GB2312" w:cs="Times New Roman"/>
          <w:color w:val="auto"/>
          <w:sz w:val="32"/>
          <w:szCs w:val="32"/>
          <w:highlight w:val="none"/>
          <w:lang w:val="en-US" w:eastAsia="zh-CN"/>
        </w:rPr>
        <w:t>16</w:t>
      </w:r>
      <w:r>
        <w:rPr>
          <w:rFonts w:hint="eastAsia" w:ascii="Times New Roman" w:hAnsi="Times New Roman" w:eastAsia="仿宋_GB2312" w:cs="Times New Roman"/>
          <w:sz w:val="32"/>
          <w:szCs w:val="32"/>
        </w:rPr>
        <w:t>等标准中的相关要求。说明书、标签的内容应当真实、完整、科学，并与产品特性相一致，文字内容必须使用中文，可以附加其他语种。说明书、标签、包装标识中的文字、符号、图形、表格、数据等应相互一致，并符合相关标准和规范要求。</w:t>
      </w:r>
    </w:p>
    <w:p>
      <w:pPr>
        <w:widowControl w:val="0"/>
        <w:spacing w:line="52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rPr>
        <w:t>.说明书</w:t>
      </w:r>
    </w:p>
    <w:p>
      <w:pPr>
        <w:widowControl w:val="0"/>
        <w:spacing w:line="52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每台设备都应附带说明书，说明书应符合GB</w:t>
      </w:r>
      <w:r>
        <w:rPr>
          <w:rFonts w:hint="eastAsia"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sz w:val="32"/>
          <w:szCs w:val="32"/>
        </w:rPr>
        <w:t>9706.1标准中的要求，至少应包括以下内容：</w:t>
      </w:r>
    </w:p>
    <w:p>
      <w:pPr>
        <w:widowControl w:val="0"/>
        <w:spacing w:line="52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（1）说明书中应包括对使用警告总结的章节。</w:t>
      </w:r>
    </w:p>
    <w:p>
      <w:pPr>
        <w:widowControl w:val="0"/>
        <w:spacing w:line="52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（2）介绍如何拆包、安装、进行使用前检查，获取帮助服务的渠道、标准操作程序、常规维护、再校准及清洗频次建议。</w:t>
      </w:r>
    </w:p>
    <w:p>
      <w:pPr>
        <w:widowControl w:val="0"/>
        <w:spacing w:line="52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（3）提供程序、简图和零件列表，以及如何联系制造商的服务中心。</w:t>
      </w:r>
    </w:p>
    <w:p>
      <w:pPr>
        <w:widowControl w:val="0"/>
        <w:spacing w:line="52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（4）提示按照厂家指定的时间间隔对袖带压力传感器/指示器的精度进行校验。</w:t>
      </w:r>
    </w:p>
    <w:p>
      <w:pPr>
        <w:widowControl w:val="0"/>
        <w:spacing w:line="52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（5）对于家用血压计指出：详细测量方法，至少包括手臂测量位置、在血压测量之前恰当的休息时间、适合的袖带尺寸，并声明应有专业人士解释测量所得的血压值。</w:t>
      </w:r>
    </w:p>
    <w:p>
      <w:pPr>
        <w:widowControl w:val="0"/>
        <w:spacing w:line="52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（6）提示用户，测量者的姿势以及身体状况会影响血压测量。</w:t>
      </w:r>
    </w:p>
    <w:p>
      <w:pPr>
        <w:widowControl w:val="0"/>
        <w:spacing w:line="52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（7）声明如果在制造商指定的温度和湿度范围外储存或使用，系统可能无法达到声称的性能（制造商指定的温度和湿度范围应一并在声明中给出）。</w:t>
      </w:r>
    </w:p>
    <w:p>
      <w:pPr>
        <w:widowControl w:val="0"/>
        <w:spacing w:line="52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（8）产品是否适用新生儿，若适用，则应提供以下信息：</w:t>
      </w:r>
    </w:p>
    <w:p>
      <w:pPr>
        <w:widowControl w:val="0"/>
        <w:spacing w:line="52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袖带可以施加的最大压力值；</w:t>
      </w:r>
    </w:p>
    <w:p>
      <w:pPr>
        <w:widowControl w:val="0"/>
        <w:spacing w:line="52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适用的血压范围值；</w:t>
      </w:r>
    </w:p>
    <w:p>
      <w:pPr>
        <w:widowControl w:val="0"/>
        <w:spacing w:line="52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可以用于血压测量的最大压力值；</w:t>
      </w:r>
    </w:p>
    <w:p>
      <w:pPr>
        <w:widowControl w:val="0"/>
        <w:spacing w:line="52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最初充气压力值。</w:t>
      </w:r>
    </w:p>
    <w:p>
      <w:pPr>
        <w:widowControl w:val="0"/>
        <w:spacing w:line="52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（9）当气囊在持久过分充气时状态下可能存在的风险。</w:t>
      </w:r>
    </w:p>
    <w:p>
      <w:pPr>
        <w:widowControl w:val="0"/>
        <w:spacing w:line="52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（10）确定显示装置故障的方法。</w:t>
      </w:r>
    </w:p>
    <w:p>
      <w:pPr>
        <w:widowControl w:val="0"/>
        <w:spacing w:line="52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（11）推荐使用的消毒程序。</w:t>
      </w:r>
    </w:p>
    <w:p>
      <w:pPr>
        <w:widowControl w:val="0"/>
        <w:spacing w:line="52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（12）关于本设备所得到的血压测量值和其他独立方法得到的测量值的相关性的声明。</w:t>
      </w:r>
    </w:p>
    <w:p>
      <w:pPr>
        <w:widowControl w:val="0"/>
        <w:spacing w:line="52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（13）当有普通心率失常出现时，该设备是否能达到声称的性能。</w:t>
      </w:r>
    </w:p>
    <w:p>
      <w:pPr>
        <w:widowControl w:val="0"/>
        <w:spacing w:line="52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（14）产品质保信息。</w:t>
      </w:r>
    </w:p>
    <w:p>
      <w:pPr>
        <w:widowControl w:val="0"/>
        <w:spacing w:line="52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关于本设备测量血压有效性的声明应该采用合适的验证方法予以证实，并向使用者提供获得有关验证方法的信息途径。</w:t>
      </w:r>
    </w:p>
    <w:p>
      <w:pPr>
        <w:widowControl w:val="0"/>
        <w:spacing w:line="520" w:lineRule="exact"/>
        <w:ind w:firstLine="640" w:firstLineChars="200"/>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sz w:val="32"/>
          <w:szCs w:val="32"/>
        </w:rPr>
        <w:t>对于使用听诊法（使用袖带、听诊器、压力计）验证的设备，应具备如下（或实质等同的</w:t>
      </w:r>
      <w:r>
        <w:rPr>
          <w:rFonts w:hint="eastAsia" w:ascii="Times New Roman" w:hAnsi="Times New Roman" w:eastAsia="仿宋_GB2312" w:cs="Times New Roman"/>
          <w:color w:val="auto"/>
          <w:sz w:val="32"/>
          <w:szCs w:val="32"/>
        </w:rPr>
        <w:t>）声明：“本设备所测得的血压值和听诊法的测量值等价，其误差符合YY06</w:t>
      </w:r>
      <w:r>
        <w:rPr>
          <w:rFonts w:hint="eastAsia" w:eastAsia="仿宋_GB2312" w:cs="Times New Roman"/>
          <w:color w:val="auto"/>
          <w:sz w:val="32"/>
          <w:szCs w:val="32"/>
          <w:lang w:val="en-US" w:eastAsia="zh-CN"/>
        </w:rPr>
        <w:t>70</w:t>
      </w:r>
      <w:r>
        <w:rPr>
          <w:rFonts w:hint="eastAsia" w:ascii="Times New Roman" w:hAnsi="Times New Roman" w:eastAsia="仿宋_GB2312" w:cs="Times New Roman"/>
          <w:color w:val="auto"/>
          <w:sz w:val="32"/>
          <w:szCs w:val="32"/>
        </w:rPr>
        <w:t>—2008规定的要求。”</w:t>
      </w:r>
      <w:r>
        <w:rPr>
          <w:rFonts w:hint="eastAsia" w:eastAsia="仿宋_GB2312" w:cs="Times New Roman"/>
          <w:color w:val="auto"/>
          <w:sz w:val="32"/>
          <w:szCs w:val="32"/>
          <w:lang w:val="en-US" w:eastAsia="zh-CN"/>
        </w:rPr>
        <w:t>YY 9706.230-2023实施后，应说明临床准确度ISO 81060-2:2018+AMD1:2020的要求进行临床调查的。</w:t>
      </w:r>
    </w:p>
    <w:p>
      <w:pPr>
        <w:widowControl w:val="0"/>
        <w:spacing w:line="52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2.标签要求</w:t>
      </w:r>
    </w:p>
    <w:p>
      <w:pPr>
        <w:widowControl w:val="0"/>
        <w:spacing w:line="52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（1）应具有产品名称、型号规格。产品名称应符合本指导原则中产品名称的要求。</w:t>
      </w:r>
    </w:p>
    <w:p>
      <w:pPr>
        <w:widowControl w:val="0"/>
        <w:spacing w:line="52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（2）应有注册人的名称、住所、联系方式。</w:t>
      </w:r>
    </w:p>
    <w:p>
      <w:pPr>
        <w:widowControl w:val="0"/>
        <w:spacing w:line="52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（3）应有生产企业的名称、住所、生产地址、联系方式及生产许可证编号；委托生产的还应当标注受托企业的名称、住所、生产地址、生产许可证编号。</w:t>
      </w:r>
    </w:p>
    <w:p>
      <w:pPr>
        <w:widowControl w:val="0"/>
        <w:spacing w:line="52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（4）应有医疗器械注册证编号及产品技术要求编号。</w:t>
      </w:r>
    </w:p>
    <w:p>
      <w:pPr>
        <w:widowControl w:val="0"/>
        <w:spacing w:line="52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（5）应有生产日期，使用期限。</w:t>
      </w:r>
    </w:p>
    <w:p>
      <w:pPr>
        <w:widowControl w:val="0"/>
        <w:spacing w:line="52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因位置或者大小受限，未能对标签进行完整标注时，应在标签中明确“其他内容详见说明书”。</w:t>
      </w:r>
    </w:p>
    <w:p>
      <w:pPr>
        <w:overflowPunct w:val="0"/>
        <w:autoSpaceDE w:val="0"/>
        <w:autoSpaceDN w:val="0"/>
        <w:spacing w:line="520" w:lineRule="exact"/>
        <w:ind w:firstLine="640" w:firstLineChars="200"/>
        <w:rPr>
          <w:rFonts w:eastAsia="仿宋_GB2312" w:cs="仿宋_GB2312"/>
          <w:snapToGrid w:val="0"/>
          <w:color w:val="auto"/>
          <w:kern w:val="0"/>
          <w:sz w:val="32"/>
          <w:szCs w:val="32"/>
        </w:rPr>
      </w:pPr>
      <w:r>
        <w:rPr>
          <w:rFonts w:eastAsia="仿宋_GB2312" w:cs="仿宋_GB2312"/>
          <w:snapToGrid w:val="0"/>
          <w:color w:val="auto"/>
          <w:kern w:val="0"/>
          <w:sz w:val="32"/>
          <w:szCs w:val="32"/>
        </w:rPr>
        <w:t>（六）质量管理体系文件</w:t>
      </w:r>
    </w:p>
    <w:p>
      <w:pPr>
        <w:overflowPunct w:val="0"/>
        <w:autoSpaceDE w:val="0"/>
        <w:autoSpaceDN w:val="0"/>
        <w:spacing w:line="520" w:lineRule="exact"/>
        <w:ind w:firstLine="640" w:firstLineChars="200"/>
        <w:rPr>
          <w:rFonts w:eastAsia="仿宋_GB2312" w:cs="仿宋_GB2312"/>
          <w:snapToGrid w:val="0"/>
          <w:color w:val="auto"/>
          <w:kern w:val="0"/>
          <w:sz w:val="32"/>
          <w:szCs w:val="32"/>
        </w:rPr>
      </w:pPr>
      <w:r>
        <w:rPr>
          <w:rFonts w:eastAsia="仿宋_GB2312" w:cs="仿宋_GB2312"/>
          <w:snapToGrid w:val="0"/>
          <w:color w:val="auto"/>
          <w:kern w:val="0"/>
          <w:sz w:val="32"/>
          <w:szCs w:val="32"/>
        </w:rPr>
        <w:t>1.详述产品的生产工艺和步骤，提供生产工艺流程图。</w:t>
      </w:r>
      <w:r>
        <w:rPr>
          <w:rFonts w:hint="eastAsia" w:eastAsia="仿宋_GB2312" w:cs="仿宋_GB2312"/>
          <w:snapToGrid w:val="0"/>
          <w:color w:val="auto"/>
          <w:kern w:val="0"/>
          <w:sz w:val="32"/>
          <w:szCs w:val="32"/>
          <w:lang w:val="en-US" w:eastAsia="zh-CN"/>
        </w:rPr>
        <w:t>产品主要工序有焊接电子元器件、组装、标定静压等。</w:t>
      </w:r>
      <w:r>
        <w:rPr>
          <w:rFonts w:eastAsia="仿宋_GB2312" w:cs="仿宋_GB2312"/>
          <w:snapToGrid w:val="0"/>
          <w:color w:val="auto"/>
          <w:kern w:val="0"/>
          <w:sz w:val="32"/>
          <w:szCs w:val="32"/>
        </w:rPr>
        <w:t>提交产品生产工艺概述、生产工艺过程中需要进行控制和测试的环节及相关证明性资料。确认关键工艺点，并对生产工艺的可控性、稳定性进行确认。</w:t>
      </w:r>
    </w:p>
    <w:p>
      <w:pPr>
        <w:spacing w:line="520" w:lineRule="exact"/>
        <w:ind w:firstLine="640" w:firstLineChars="200"/>
        <w:rPr>
          <w:rFonts w:eastAsia="仿宋_GB2312"/>
          <w:color w:val="000000"/>
          <w:sz w:val="32"/>
          <w:szCs w:val="32"/>
        </w:rPr>
      </w:pPr>
      <w:r>
        <w:rPr>
          <w:rFonts w:eastAsia="仿宋_GB2312" w:cs="仿宋_GB2312"/>
          <w:snapToGrid w:val="0"/>
          <w:color w:val="auto"/>
          <w:kern w:val="0"/>
          <w:sz w:val="32"/>
          <w:szCs w:val="32"/>
        </w:rPr>
        <w:t>2.明确特殊过程和关键工序，提供特殊过程的确认资料以及关键工序的验证资料。对于可能影响终产品性能的内容，如打印工艺，后处理工艺，清洗工艺等，需提供详细的工艺验证资料。</w:t>
      </w:r>
      <w:r>
        <w:rPr>
          <w:rFonts w:eastAsia="仿宋_GB2312"/>
          <w:color w:val="000000"/>
          <w:sz w:val="32"/>
          <w:szCs w:val="32"/>
        </w:rPr>
        <w:t>该产品的生产应符合《医疗器械生产监督管理办法》中对二类医疗器械产品的要求。</w:t>
      </w:r>
    </w:p>
    <w:p>
      <w:pPr>
        <w:widowControl w:val="0"/>
        <w:spacing w:line="520" w:lineRule="exact"/>
        <w:ind w:firstLine="640" w:firstLineChars="200"/>
        <w:outlineLvl w:val="0"/>
        <w:rPr>
          <w:rFonts w:ascii="Times New Roman" w:hAnsi="Times New Roman" w:eastAsia="黑体" w:cs="Times New Roman"/>
          <w:sz w:val="32"/>
          <w:szCs w:val="32"/>
        </w:rPr>
      </w:pPr>
      <w:r>
        <w:rPr>
          <w:rFonts w:hint="eastAsia" w:ascii="Times New Roman" w:hAnsi="Times New Roman" w:eastAsia="黑体" w:cs="Times New Roman"/>
          <w:sz w:val="32"/>
          <w:szCs w:val="32"/>
        </w:rPr>
        <w:t>三、审查关注点</w:t>
      </w:r>
    </w:p>
    <w:p>
      <w:pPr>
        <w:widowControl w:val="0"/>
        <w:spacing w:line="520" w:lineRule="exact"/>
        <w:ind w:firstLine="640" w:firstLineChars="200"/>
        <w:outlineLvl w:val="0"/>
        <w:rPr>
          <w:rFonts w:ascii="Times New Roman" w:hAnsi="Times New Roman" w:eastAsia="楷体_GB2312" w:cs="Times New Roman"/>
          <w:sz w:val="32"/>
          <w:szCs w:val="32"/>
        </w:rPr>
      </w:pPr>
      <w:r>
        <w:rPr>
          <w:rFonts w:hint="eastAsia" w:ascii="Times New Roman" w:hAnsi="Times New Roman" w:eastAsia="楷体_GB2312" w:cs="Times New Roman"/>
          <w:sz w:val="32"/>
          <w:szCs w:val="32"/>
        </w:rPr>
        <w:t>（一）产品结构</w:t>
      </w:r>
    </w:p>
    <w:p>
      <w:pPr>
        <w:widowControl w:val="0"/>
        <w:spacing w:line="520" w:lineRule="exact"/>
        <w:ind w:firstLine="640" w:firstLineChars="200"/>
        <w:outlineLvl w:val="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审查应关注产品（或产品系列）的结构组成的完整性，包括可能的选配件（如：电源适配器、不同型号规格的袖带、通信附件、配套软件等），以及所有关键部件。</w:t>
      </w:r>
    </w:p>
    <w:p>
      <w:pPr>
        <w:widowControl w:val="0"/>
        <w:spacing w:line="520" w:lineRule="exact"/>
        <w:ind w:firstLine="640" w:firstLineChars="200"/>
        <w:outlineLvl w:val="0"/>
        <w:rPr>
          <w:rFonts w:ascii="Times New Roman" w:hAnsi="Times New Roman" w:eastAsia="楷体_GB2312" w:cs="Times New Roman"/>
          <w:sz w:val="32"/>
          <w:szCs w:val="32"/>
        </w:rPr>
      </w:pPr>
      <w:r>
        <w:rPr>
          <w:rFonts w:hint="eastAsia" w:ascii="Times New Roman" w:hAnsi="Times New Roman" w:eastAsia="楷体_GB2312" w:cs="Times New Roman"/>
          <w:sz w:val="32"/>
          <w:szCs w:val="32"/>
        </w:rPr>
        <w:t>（二）标准执行</w:t>
      </w:r>
    </w:p>
    <w:p>
      <w:pPr>
        <w:widowControl w:val="0"/>
        <w:spacing w:line="520" w:lineRule="exact"/>
        <w:ind w:firstLine="640" w:firstLineChars="200"/>
        <w:outlineLvl w:val="0"/>
        <w:rPr>
          <w:rFonts w:hint="default" w:ascii="Times New Roman" w:hAnsi="Times New Roman" w:eastAsia="仿宋_GB2312" w:cs="Times New Roman"/>
          <w:bCs/>
          <w:sz w:val="32"/>
          <w:szCs w:val="32"/>
          <w:lang w:val="en-US" w:eastAsia="zh-CN"/>
        </w:rPr>
      </w:pPr>
      <w:r>
        <w:rPr>
          <w:rFonts w:hint="eastAsia" w:eastAsia="仿宋_GB2312" w:cs="Times New Roman"/>
          <w:bCs/>
          <w:sz w:val="32"/>
          <w:szCs w:val="32"/>
          <w:lang w:val="en-US" w:eastAsia="zh-CN"/>
        </w:rPr>
        <w:t>在YY 9706.230-2023实施前，产品</w:t>
      </w:r>
      <w:r>
        <w:rPr>
          <w:rFonts w:hint="eastAsia" w:ascii="Times New Roman" w:hAnsi="Times New Roman" w:eastAsia="仿宋_GB2312" w:cs="Times New Roman"/>
          <w:sz w:val="32"/>
          <w:szCs w:val="32"/>
        </w:rPr>
        <w:t>（包括可能的选配件）</w:t>
      </w:r>
      <w:r>
        <w:rPr>
          <w:rFonts w:hint="eastAsia" w:eastAsia="仿宋_GB2312" w:cs="Times New Roman"/>
          <w:sz w:val="32"/>
          <w:szCs w:val="32"/>
          <w:lang w:val="en-US" w:eastAsia="zh-CN"/>
        </w:rPr>
        <w:t>仍可执行GB 9706.1-2007、YY 0505-2012、YY 0670-2008的要求，并鼓励制造商执行GB 9706.1-2020、YY 9706.102-2021、YY 9706.111-2021（如适用）及YY 9706.230-2023的要求。</w:t>
      </w:r>
    </w:p>
    <w:p>
      <w:pPr>
        <w:widowControl w:val="0"/>
        <w:spacing w:line="520" w:lineRule="exact"/>
        <w:ind w:firstLine="640" w:firstLineChars="200"/>
        <w:outlineLvl w:val="0"/>
        <w:rPr>
          <w:rFonts w:hint="eastAsia" w:eastAsia="仿宋_GB2312" w:cs="Times New Roman"/>
          <w:sz w:val="32"/>
          <w:szCs w:val="32"/>
          <w:lang w:val="en-US" w:eastAsia="zh-CN"/>
        </w:rPr>
      </w:pPr>
      <w:r>
        <w:rPr>
          <w:rFonts w:hint="eastAsia" w:eastAsia="仿宋_GB2312" w:cs="Times New Roman"/>
          <w:sz w:val="32"/>
          <w:szCs w:val="32"/>
          <w:lang w:val="en-US" w:eastAsia="zh-CN"/>
        </w:rPr>
        <w:t>在YY 9706.230-2023实施后，制造商必须执行GB 9706.1-2020、YY 9706.102-2021、YY 9706.111-2021（如适用）及YY 9706.230-2023的要求。</w:t>
      </w:r>
    </w:p>
    <w:p>
      <w:pPr>
        <w:widowControl w:val="0"/>
        <w:spacing w:line="520" w:lineRule="exact"/>
        <w:ind w:firstLine="640" w:firstLineChars="200"/>
        <w:outlineLvl w:val="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具体指标的适用性应按照产品具体的工作原理和结构组成进行判断。如：系统整体有效性条款应在注册时或关键部件变更时进行（应在研究资料中给出）；采用升压测量法进行血压测量的血压计，“充气源”和“气阀</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袖带放气率”的要求是不适用的；对压力控制阀的要求，应首先明确产品的结构是压力自控气阀还是自动气阀；采用压力自控气阀的血压计的“气阀</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袖带放气率”要求应与所使用的袖带配套试验；“气囊和袖带”的要求应包括所有可选的袖带，并根据袖带是否带气囊选择适用条款。</w:t>
      </w:r>
    </w:p>
    <w:p>
      <w:pPr>
        <w:widowControl w:val="0"/>
        <w:tabs>
          <w:tab w:val="left" w:pos="0"/>
        </w:tabs>
        <w:spacing w:line="52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产品中除血压判定算法外的软件、附加功能应在技术要求中规定要求和具体的试验方法。</w:t>
      </w:r>
    </w:p>
    <w:p>
      <w:pPr>
        <w:widowControl w:val="0"/>
        <w:spacing w:line="520" w:lineRule="exact"/>
        <w:ind w:firstLine="640" w:firstLineChars="200"/>
        <w:outlineLvl w:val="0"/>
        <w:rPr>
          <w:rFonts w:ascii="Times New Roman" w:hAnsi="Times New Roman" w:eastAsia="楷体_GB2312" w:cs="Times New Roman"/>
          <w:sz w:val="32"/>
          <w:szCs w:val="32"/>
        </w:rPr>
      </w:pPr>
      <w:r>
        <w:rPr>
          <w:rFonts w:hint="eastAsia" w:ascii="Times New Roman" w:hAnsi="Times New Roman" w:eastAsia="楷体_GB2312" w:cs="Times New Roman"/>
          <w:sz w:val="32"/>
          <w:szCs w:val="32"/>
        </w:rPr>
        <w:t>（三）系统整体有效性要求</w:t>
      </w:r>
    </w:p>
    <w:p>
      <w:pPr>
        <w:widowControl w:val="0"/>
        <w:spacing w:line="520" w:lineRule="exact"/>
        <w:ind w:firstLine="640" w:firstLineChars="200"/>
        <w:outlineLvl w:val="0"/>
        <w:rPr>
          <w:rFonts w:ascii="Times New Roman" w:hAnsi="Times New Roman" w:eastAsia="仿宋_GB2312" w:cs="Times New Roman"/>
          <w:bCs/>
          <w:sz w:val="32"/>
          <w:szCs w:val="32"/>
        </w:rPr>
      </w:pPr>
      <w:r>
        <w:rPr>
          <w:rFonts w:hint="eastAsia" w:ascii="Times New Roman" w:hAnsi="Times New Roman" w:eastAsia="仿宋_GB2312" w:cs="Times New Roman"/>
          <w:sz w:val="32"/>
          <w:szCs w:val="32"/>
        </w:rPr>
        <w:t>应审查所提交的研究资料中说明</w:t>
      </w:r>
      <w:r>
        <w:rPr>
          <w:rFonts w:hint="eastAsia" w:eastAsia="仿宋_GB2312" w:cs="Times New Roman"/>
          <w:sz w:val="32"/>
          <w:szCs w:val="32"/>
          <w:lang w:val="en-US" w:eastAsia="zh-CN"/>
        </w:rPr>
        <w:t>验证</w:t>
      </w:r>
      <w:r>
        <w:rPr>
          <w:rFonts w:hint="eastAsia" w:ascii="Times New Roman" w:hAnsi="Times New Roman" w:eastAsia="仿宋_GB2312" w:cs="Times New Roman"/>
          <w:sz w:val="32"/>
          <w:szCs w:val="32"/>
        </w:rPr>
        <w:t>采用的方法（如果采用的是与听诊法作为参考标准，应说明调查者是否受过培训，如果采用有创法，应说明有创压选择的插管的动脉），并提供</w:t>
      </w:r>
      <w:r>
        <w:rPr>
          <w:rFonts w:hint="eastAsia" w:eastAsia="仿宋_GB2312" w:cs="Times New Roman"/>
          <w:sz w:val="32"/>
          <w:szCs w:val="32"/>
          <w:lang w:val="en-US" w:eastAsia="zh-CN"/>
        </w:rPr>
        <w:t>验证</w:t>
      </w:r>
      <w:r>
        <w:rPr>
          <w:rFonts w:hint="eastAsia" w:ascii="Times New Roman" w:hAnsi="Times New Roman" w:eastAsia="仿宋_GB2312" w:cs="Times New Roman"/>
          <w:sz w:val="32"/>
          <w:szCs w:val="32"/>
        </w:rPr>
        <w:t>的具体数据和分析报告。数据和分析报告应符合所选方法的要求（如：数据的平均差、标准差、受试人群性别、年龄、臂围、收缩压、舒张压的分布及特殊人群的描述等）。</w:t>
      </w:r>
    </w:p>
    <w:p>
      <w:pPr>
        <w:widowControl w:val="0"/>
        <w:spacing w:line="520" w:lineRule="exact"/>
        <w:ind w:firstLine="640" w:firstLineChars="200"/>
        <w:outlineLvl w:val="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系统整体有效性要求也应适用于具有显示平均压的产品。</w:t>
      </w:r>
    </w:p>
    <w:p>
      <w:pPr>
        <w:widowControl w:val="0"/>
        <w:spacing w:line="520" w:lineRule="exact"/>
        <w:ind w:firstLine="640" w:firstLineChars="200"/>
        <w:outlineLvl w:val="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如产品声称具有除血压测量以外的其他预期用途，应在临床试验中进行有效性的验证。</w:t>
      </w:r>
    </w:p>
    <w:p>
      <w:pPr>
        <w:widowControl w:val="0"/>
        <w:spacing w:line="520" w:lineRule="exact"/>
        <w:ind w:firstLine="640" w:firstLineChars="200"/>
        <w:outlineLvl w:val="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如产品变更注册时涉及血压测量准确性部分的变更，也应进行临床整体有效性的临床验证。</w:t>
      </w:r>
    </w:p>
    <w:p>
      <w:pPr>
        <w:widowControl w:val="0"/>
        <w:spacing w:line="520" w:lineRule="exact"/>
        <w:ind w:firstLine="640" w:firstLineChars="200"/>
        <w:outlineLvl w:val="0"/>
        <w:rPr>
          <w:rFonts w:ascii="Times New Roman" w:hAnsi="Times New Roman" w:eastAsia="楷体_GB2312" w:cs="Times New Roman"/>
          <w:sz w:val="32"/>
          <w:szCs w:val="32"/>
        </w:rPr>
      </w:pPr>
      <w:r>
        <w:rPr>
          <w:rFonts w:hint="eastAsia" w:ascii="Times New Roman" w:hAnsi="Times New Roman" w:eastAsia="楷体_GB2312" w:cs="Times New Roman"/>
          <w:sz w:val="32"/>
          <w:szCs w:val="32"/>
        </w:rPr>
        <w:t>（</w:t>
      </w:r>
      <w:r>
        <w:rPr>
          <w:rFonts w:hint="eastAsia" w:eastAsia="楷体_GB2312" w:cs="Times New Roman"/>
          <w:sz w:val="32"/>
          <w:szCs w:val="32"/>
          <w:lang w:val="en-US" w:eastAsia="zh-CN"/>
        </w:rPr>
        <w:t>四</w:t>
      </w:r>
      <w:r>
        <w:rPr>
          <w:rFonts w:hint="eastAsia" w:ascii="Times New Roman" w:hAnsi="Times New Roman" w:eastAsia="楷体_GB2312" w:cs="Times New Roman"/>
          <w:sz w:val="32"/>
          <w:szCs w:val="32"/>
        </w:rPr>
        <w:t>）说明书的审查</w:t>
      </w:r>
    </w:p>
    <w:p>
      <w:pPr>
        <w:widowControl w:val="0"/>
        <w:spacing w:line="520" w:lineRule="exact"/>
        <w:ind w:firstLine="640" w:firstLineChars="200"/>
        <w:outlineLvl w:val="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应注意明确产品的预期用途，选配件、附加功能应列明并表述正确。对产品禁忌</w:t>
      </w:r>
      <w:r>
        <w:rPr>
          <w:rFonts w:hint="eastAsia" w:eastAsia="仿宋_GB2312" w:cs="Times New Roman"/>
          <w:sz w:val="32"/>
          <w:szCs w:val="32"/>
          <w:lang w:val="en-US" w:eastAsia="zh-CN"/>
        </w:rPr>
        <w:t>证</w:t>
      </w:r>
      <w:r>
        <w:rPr>
          <w:rFonts w:hint="eastAsia" w:ascii="Times New Roman" w:hAnsi="Times New Roman" w:eastAsia="仿宋_GB2312" w:cs="Times New Roman"/>
          <w:sz w:val="32"/>
          <w:szCs w:val="32"/>
        </w:rPr>
        <w:t>和不适宜人群的描述应与临床整体有效性的临床验证报告中给出的一致。</w:t>
      </w:r>
    </w:p>
    <w:p>
      <w:pPr>
        <w:pStyle w:val="2"/>
      </w:pPr>
      <w:r>
        <w:rPr>
          <w:rFonts w:ascii="Times New Roman" w:hAnsi="Times New Roman" w:eastAsia="仿宋_GB2312" w:cs="Times New Roman"/>
          <w:spacing w:val="-4"/>
        </w:rPr>
        <w:br w:type="page"/>
      </w:r>
    </w:p>
    <w:p>
      <w:pPr>
        <w:overflowPunct w:val="0"/>
        <w:autoSpaceDE w:val="0"/>
        <w:autoSpaceDN w:val="0"/>
        <w:spacing w:line="520" w:lineRule="exact"/>
        <w:ind w:firstLine="567"/>
        <w:outlineLvl w:val="0"/>
        <w:rPr>
          <w:rFonts w:eastAsia="黑体" w:cs="仿宋_GB2312"/>
          <w:snapToGrid w:val="0"/>
          <w:kern w:val="0"/>
          <w:sz w:val="32"/>
          <w:szCs w:val="32"/>
        </w:rPr>
      </w:pPr>
      <w:r>
        <w:rPr>
          <w:rFonts w:hint="eastAsia" w:eastAsia="黑体" w:cs="仿宋_GB2312"/>
          <w:snapToGrid w:val="0"/>
          <w:kern w:val="0"/>
          <w:sz w:val="32"/>
          <w:szCs w:val="32"/>
          <w:lang w:val="en-US" w:eastAsia="zh-CN"/>
        </w:rPr>
        <w:t>四</w:t>
      </w:r>
      <w:r>
        <w:rPr>
          <w:rFonts w:eastAsia="黑体" w:cs="仿宋_GB2312"/>
          <w:snapToGrid w:val="0"/>
          <w:kern w:val="0"/>
          <w:sz w:val="32"/>
          <w:szCs w:val="32"/>
        </w:rPr>
        <w:t>、参考文献</w:t>
      </w:r>
    </w:p>
    <w:p>
      <w:pPr>
        <w:spacing w:line="520" w:lineRule="exact"/>
        <w:ind w:firstLine="640" w:firstLineChars="200"/>
        <w:rPr>
          <w:rFonts w:eastAsia="仿宋_GB2312"/>
          <w:color w:val="000000"/>
          <w:sz w:val="32"/>
          <w:szCs w:val="32"/>
        </w:rPr>
      </w:pPr>
      <w:r>
        <w:rPr>
          <w:rFonts w:hint="eastAsia" w:eastAsia="仿宋_GB2312"/>
          <w:snapToGrid w:val="0"/>
          <w:kern w:val="0"/>
          <w:sz w:val="32"/>
          <w:szCs w:val="32"/>
        </w:rPr>
        <w:t>[1]</w:t>
      </w:r>
      <w:r>
        <w:rPr>
          <w:rFonts w:eastAsia="仿宋_GB2312"/>
          <w:color w:val="000000"/>
          <w:sz w:val="32"/>
          <w:szCs w:val="32"/>
        </w:rPr>
        <w:t>国家市场监督管理总局</w:t>
      </w:r>
      <w:r>
        <w:rPr>
          <w:rFonts w:hint="eastAsia" w:eastAsia="仿宋_GB2312"/>
          <w:color w:val="000000"/>
          <w:sz w:val="32"/>
          <w:szCs w:val="32"/>
        </w:rPr>
        <w:t>.</w:t>
      </w:r>
      <w:r>
        <w:rPr>
          <w:rFonts w:eastAsia="仿宋_GB2312"/>
          <w:color w:val="000000"/>
          <w:sz w:val="32"/>
          <w:szCs w:val="32"/>
        </w:rPr>
        <w:t>医疗器械注册与备案管理办法:国家市场监督管理总局令第47号</w:t>
      </w:r>
      <w:r>
        <w:rPr>
          <w:rFonts w:eastAsia="仿宋_GB2312"/>
          <w:color w:val="000000"/>
          <w:sz w:val="32"/>
          <w:szCs w:val="32"/>
          <w:lang w:val="en"/>
        </w:rPr>
        <w:t>[Z]</w:t>
      </w:r>
      <w:r>
        <w:rPr>
          <w:rFonts w:eastAsia="仿宋_GB2312"/>
          <w:color w:val="000000"/>
          <w:sz w:val="32"/>
          <w:szCs w:val="32"/>
        </w:rPr>
        <w:t>.</w:t>
      </w:r>
    </w:p>
    <w:p>
      <w:pPr>
        <w:overflowPunct w:val="0"/>
        <w:spacing w:line="520" w:lineRule="exact"/>
        <w:ind w:firstLine="640" w:firstLineChars="200"/>
        <w:rPr>
          <w:rFonts w:eastAsia="仿宋_GB2312"/>
          <w:sz w:val="32"/>
          <w:szCs w:val="32"/>
        </w:rPr>
      </w:pPr>
      <w:r>
        <w:rPr>
          <w:rFonts w:hint="eastAsia" w:eastAsia="仿宋_GB2312"/>
          <w:snapToGrid w:val="0"/>
          <w:kern w:val="0"/>
          <w:sz w:val="32"/>
          <w:szCs w:val="32"/>
        </w:rPr>
        <w:t>[2]原国家食品药品监督管理总局.医疗器械说明书和标签管理规定:国家食品药品监督管理总局令第6号[Z].</w:t>
      </w:r>
    </w:p>
    <w:p>
      <w:pPr>
        <w:spacing w:line="520" w:lineRule="exact"/>
        <w:ind w:right="-67" w:rightChars="-32" w:firstLine="640" w:firstLineChars="200"/>
        <w:rPr>
          <w:rFonts w:eastAsia="仿宋_GB2312"/>
          <w:color w:val="000000"/>
          <w:sz w:val="32"/>
          <w:szCs w:val="32"/>
        </w:rPr>
      </w:pPr>
      <w:r>
        <w:rPr>
          <w:rFonts w:hint="eastAsia" w:eastAsia="楷体_GB2312"/>
          <w:color w:val="000000"/>
          <w:sz w:val="32"/>
          <w:szCs w:val="32"/>
        </w:rPr>
        <w:t>[3]</w:t>
      </w:r>
      <w:r>
        <w:rPr>
          <w:rFonts w:hint="eastAsia" w:eastAsia="仿宋_GB2312"/>
          <w:color w:val="000000"/>
          <w:sz w:val="32"/>
          <w:szCs w:val="32"/>
        </w:rPr>
        <w:t>国家药品监督管理局.</w:t>
      </w:r>
      <w:r>
        <w:rPr>
          <w:rFonts w:eastAsia="仿宋_GB2312"/>
          <w:color w:val="000000"/>
          <w:sz w:val="32"/>
          <w:szCs w:val="32"/>
        </w:rPr>
        <w:t>医疗器械注册申报资料要求和批准证明文件格式</w:t>
      </w:r>
      <w:r>
        <w:rPr>
          <w:rFonts w:hint="eastAsia" w:eastAsia="仿宋_GB2312"/>
          <w:color w:val="000000"/>
          <w:sz w:val="32"/>
          <w:szCs w:val="32"/>
        </w:rPr>
        <w:t>:国家药监局公告2021年第121号</w:t>
      </w:r>
      <w:r>
        <w:rPr>
          <w:rFonts w:eastAsia="仿宋_GB2312"/>
          <w:color w:val="000000"/>
          <w:sz w:val="32"/>
          <w:szCs w:val="32"/>
          <w:lang w:val="en"/>
        </w:rPr>
        <w:t>[Z]</w:t>
      </w:r>
      <w:r>
        <w:rPr>
          <w:rFonts w:eastAsia="仿宋_GB2312"/>
          <w:color w:val="000000"/>
          <w:sz w:val="32"/>
          <w:szCs w:val="32"/>
        </w:rPr>
        <w:t>.</w:t>
      </w:r>
    </w:p>
    <w:p>
      <w:pPr>
        <w:spacing w:line="520" w:lineRule="exact"/>
        <w:ind w:right="-67" w:rightChars="-32" w:firstLine="640" w:firstLineChars="200"/>
        <w:rPr>
          <w:rFonts w:eastAsia="仿宋_GB2312"/>
          <w:sz w:val="32"/>
          <w:szCs w:val="32"/>
        </w:rPr>
      </w:pPr>
      <w:r>
        <w:rPr>
          <w:rFonts w:eastAsia="仿宋_GB2312"/>
          <w:kern w:val="0"/>
          <w:sz w:val="32"/>
          <w:szCs w:val="32"/>
        </w:rPr>
        <w:t>[</w:t>
      </w:r>
      <w:r>
        <w:rPr>
          <w:rFonts w:hint="eastAsia" w:eastAsia="仿宋_GB2312"/>
          <w:kern w:val="0"/>
          <w:sz w:val="32"/>
          <w:szCs w:val="32"/>
        </w:rPr>
        <w:t>4</w:t>
      </w:r>
      <w:r>
        <w:rPr>
          <w:rFonts w:eastAsia="仿宋_GB2312"/>
          <w:kern w:val="0"/>
          <w:sz w:val="32"/>
          <w:szCs w:val="32"/>
        </w:rPr>
        <w:t>]</w:t>
      </w:r>
      <w:r>
        <w:rPr>
          <w:rFonts w:hint="eastAsia" w:eastAsia="仿宋_GB2312"/>
          <w:color w:val="000000"/>
          <w:sz w:val="32"/>
          <w:szCs w:val="32"/>
        </w:rPr>
        <w:t>国家药品监督管理局.</w:t>
      </w:r>
      <w:r>
        <w:rPr>
          <w:rFonts w:eastAsia="仿宋_GB2312"/>
          <w:sz w:val="32"/>
          <w:szCs w:val="32"/>
        </w:rPr>
        <w:t>医疗器械产品技术要求编写指导原则</w:t>
      </w:r>
      <w:r>
        <w:rPr>
          <w:rFonts w:hint="eastAsia" w:eastAsia="仿宋_GB2312"/>
          <w:sz w:val="32"/>
          <w:szCs w:val="32"/>
        </w:rPr>
        <w:t>:国家药监局</w:t>
      </w:r>
      <w:r>
        <w:rPr>
          <w:rFonts w:hint="eastAsia" w:eastAsia="仿宋_GB2312"/>
          <w:color w:val="000000"/>
          <w:sz w:val="32"/>
          <w:szCs w:val="32"/>
          <w:lang w:val="en"/>
        </w:rPr>
        <w:t>通告</w:t>
      </w:r>
      <w:r>
        <w:rPr>
          <w:rFonts w:eastAsia="仿宋_GB2312"/>
          <w:color w:val="000000"/>
          <w:sz w:val="32"/>
          <w:szCs w:val="32"/>
          <w:lang w:val="en"/>
        </w:rPr>
        <w:t>20</w:t>
      </w:r>
      <w:r>
        <w:rPr>
          <w:rFonts w:hint="eastAsia" w:eastAsia="仿宋_GB2312"/>
          <w:color w:val="000000"/>
          <w:sz w:val="32"/>
          <w:szCs w:val="32"/>
          <w:lang w:val="en"/>
        </w:rPr>
        <w:t>22</w:t>
      </w:r>
      <w:r>
        <w:rPr>
          <w:rFonts w:eastAsia="仿宋_GB2312"/>
          <w:color w:val="000000"/>
          <w:sz w:val="32"/>
          <w:szCs w:val="32"/>
          <w:lang w:val="en"/>
        </w:rPr>
        <w:t>年第8号[Z]</w:t>
      </w:r>
      <w:r>
        <w:rPr>
          <w:rFonts w:eastAsia="仿宋_GB2312"/>
          <w:sz w:val="32"/>
          <w:szCs w:val="32"/>
        </w:rPr>
        <w:t>.</w:t>
      </w:r>
    </w:p>
    <w:p>
      <w:pPr>
        <w:spacing w:line="520" w:lineRule="exact"/>
        <w:ind w:firstLine="640" w:firstLineChars="200"/>
        <w:rPr>
          <w:rFonts w:eastAsia="仿宋_GB2312"/>
          <w:sz w:val="32"/>
          <w:szCs w:val="32"/>
        </w:rPr>
      </w:pPr>
      <w:r>
        <w:rPr>
          <w:rFonts w:hint="eastAsia" w:eastAsia="仿宋_GB2312"/>
          <w:sz w:val="32"/>
          <w:szCs w:val="32"/>
        </w:rPr>
        <w:t>[5]</w:t>
      </w:r>
      <w:r>
        <w:rPr>
          <w:rFonts w:hint="eastAsia" w:eastAsia="仿宋_GB2312"/>
          <w:color w:val="000000"/>
          <w:kern w:val="0"/>
          <w:sz w:val="32"/>
          <w:szCs w:val="32"/>
        </w:rPr>
        <w:t>国家药品监督管理局医疗器械审评中心.</w:t>
      </w:r>
      <w:r>
        <w:rPr>
          <w:rFonts w:eastAsia="仿宋_GB2312"/>
          <w:color w:val="000000"/>
          <w:kern w:val="0"/>
          <w:sz w:val="32"/>
          <w:szCs w:val="32"/>
        </w:rPr>
        <w:t>医疗器械软件注册审查指导原则</w:t>
      </w:r>
      <w:r>
        <w:rPr>
          <w:rFonts w:hint="eastAsia" w:eastAsia="仿宋_GB2312"/>
          <w:color w:val="000000"/>
          <w:kern w:val="0"/>
          <w:sz w:val="32"/>
          <w:szCs w:val="32"/>
        </w:rPr>
        <w:t>（2022年修订版）:国家药监局器审中心通告2022年第9号</w:t>
      </w:r>
      <w:r>
        <w:rPr>
          <w:rFonts w:eastAsia="仿宋_GB2312"/>
          <w:color w:val="000000"/>
          <w:sz w:val="32"/>
          <w:szCs w:val="32"/>
          <w:lang w:val="en"/>
        </w:rPr>
        <w:t>[Z]</w:t>
      </w:r>
      <w:r>
        <w:rPr>
          <w:rFonts w:eastAsia="仿宋_GB2312"/>
          <w:sz w:val="32"/>
          <w:szCs w:val="32"/>
        </w:rPr>
        <w:t>.</w:t>
      </w:r>
    </w:p>
    <w:p>
      <w:pPr>
        <w:keepNext w:val="0"/>
        <w:keepLines w:val="0"/>
        <w:pageBreakBefore w:val="0"/>
        <w:widowControl w:val="0"/>
        <w:kinsoku/>
        <w:wordWrap/>
        <w:topLinePunct w:val="0"/>
        <w:bidi w:val="0"/>
        <w:adjustRightInd/>
        <w:snapToGrid/>
        <w:spacing w:line="520" w:lineRule="exact"/>
        <w:ind w:right="-67" w:rightChars="-32" w:firstLine="640" w:firstLineChars="200"/>
        <w:textAlignment w:val="auto"/>
        <w:rPr>
          <w:rFonts w:eastAsia="仿宋_GB2312"/>
          <w:color w:val="auto"/>
          <w:sz w:val="32"/>
          <w:szCs w:val="32"/>
        </w:rPr>
      </w:pPr>
      <w:r>
        <w:rPr>
          <w:rFonts w:hint="eastAsia" w:eastAsia="仿宋_GB2312"/>
          <w:sz w:val="32"/>
          <w:szCs w:val="32"/>
        </w:rPr>
        <w:t>[</w:t>
      </w:r>
      <w:r>
        <w:rPr>
          <w:rFonts w:hint="eastAsia" w:eastAsia="仿宋_GB2312"/>
          <w:sz w:val="32"/>
          <w:szCs w:val="32"/>
          <w:lang w:val="en-US" w:eastAsia="zh-CN"/>
        </w:rPr>
        <w:t>6</w:t>
      </w:r>
      <w:r>
        <w:rPr>
          <w:rFonts w:hint="eastAsia" w:eastAsia="仿宋_GB2312"/>
          <w:sz w:val="32"/>
          <w:szCs w:val="32"/>
        </w:rPr>
        <w:t>]</w:t>
      </w:r>
      <w:r>
        <w:rPr>
          <w:rFonts w:eastAsia="仿宋_GB2312"/>
          <w:color w:val="auto"/>
          <w:sz w:val="32"/>
          <w:szCs w:val="32"/>
          <w:lang w:val="en"/>
        </w:rPr>
        <w:t>国家食品药品监督管理局</w:t>
      </w:r>
      <w:r>
        <w:rPr>
          <w:rFonts w:eastAsia="仿宋_GB2312"/>
          <w:color w:val="auto"/>
          <w:sz w:val="32"/>
          <w:szCs w:val="32"/>
        </w:rPr>
        <w:t>.医疗器械分类目录</w:t>
      </w:r>
      <w:r>
        <w:rPr>
          <w:rFonts w:hint="eastAsia" w:eastAsia="仿宋_GB2312"/>
          <w:color w:val="auto"/>
          <w:sz w:val="32"/>
          <w:szCs w:val="32"/>
        </w:rPr>
        <w:t>:</w:t>
      </w:r>
      <w:r>
        <w:rPr>
          <w:rFonts w:eastAsia="仿宋_GB2312"/>
          <w:color w:val="auto"/>
          <w:sz w:val="32"/>
          <w:szCs w:val="32"/>
          <w:lang w:val="en"/>
        </w:rPr>
        <w:t>国家食品药品监督管理总局</w:t>
      </w:r>
      <w:r>
        <w:rPr>
          <w:rFonts w:hint="eastAsia" w:eastAsia="仿宋_GB2312"/>
          <w:color w:val="auto"/>
          <w:sz w:val="32"/>
          <w:szCs w:val="32"/>
          <w:lang w:val="en"/>
        </w:rPr>
        <w:t>公告</w:t>
      </w:r>
      <w:r>
        <w:rPr>
          <w:rFonts w:eastAsia="仿宋_GB2312"/>
          <w:color w:val="auto"/>
          <w:sz w:val="32"/>
          <w:szCs w:val="32"/>
          <w:lang w:val="en"/>
        </w:rPr>
        <w:t>2017年第104号</w:t>
      </w:r>
      <w:r>
        <w:rPr>
          <w:rFonts w:eastAsia="仿宋_GB2312"/>
          <w:color w:val="auto"/>
          <w:sz w:val="32"/>
          <w:szCs w:val="32"/>
        </w:rPr>
        <w:t>[Z].</w:t>
      </w:r>
    </w:p>
    <w:p>
      <w:pPr>
        <w:keepNext w:val="0"/>
        <w:keepLines w:val="0"/>
        <w:pageBreakBefore w:val="0"/>
        <w:widowControl w:val="0"/>
        <w:kinsoku/>
        <w:wordWrap/>
        <w:topLinePunct w:val="0"/>
        <w:bidi w:val="0"/>
        <w:adjustRightInd/>
        <w:snapToGrid/>
        <w:spacing w:line="520" w:lineRule="exact"/>
        <w:ind w:right="-67" w:rightChars="-32" w:firstLine="640" w:firstLineChars="200"/>
        <w:textAlignment w:val="auto"/>
        <w:rPr>
          <w:rFonts w:eastAsia="仿宋_GB2312"/>
          <w:color w:val="auto"/>
          <w:sz w:val="32"/>
          <w:szCs w:val="32"/>
          <w:highlight w:val="none"/>
        </w:rPr>
      </w:pPr>
      <w:r>
        <w:rPr>
          <w:rFonts w:hint="eastAsia" w:eastAsia="仿宋_GB2312"/>
          <w:sz w:val="32"/>
          <w:szCs w:val="32"/>
        </w:rPr>
        <w:t>[</w:t>
      </w:r>
      <w:r>
        <w:rPr>
          <w:rFonts w:hint="eastAsia" w:eastAsia="仿宋_GB2312"/>
          <w:sz w:val="32"/>
          <w:szCs w:val="32"/>
          <w:lang w:val="en-US" w:eastAsia="zh-CN"/>
        </w:rPr>
        <w:t>7</w:t>
      </w:r>
      <w:r>
        <w:rPr>
          <w:rFonts w:hint="eastAsia" w:eastAsia="仿宋_GB2312"/>
          <w:sz w:val="32"/>
          <w:szCs w:val="32"/>
        </w:rPr>
        <w:t>]</w:t>
      </w:r>
      <w:r>
        <w:rPr>
          <w:rFonts w:eastAsia="仿宋_GB2312"/>
          <w:color w:val="auto"/>
          <w:sz w:val="32"/>
          <w:szCs w:val="28"/>
          <w:highlight w:val="none"/>
        </w:rPr>
        <w:t>国家食品药品监督管理局</w:t>
      </w:r>
      <w:r>
        <w:rPr>
          <w:rFonts w:hint="eastAsia" w:eastAsia="仿宋_GB2312"/>
          <w:color w:val="auto"/>
          <w:sz w:val="32"/>
          <w:szCs w:val="32"/>
          <w:highlight w:val="none"/>
        </w:rPr>
        <w:t>.</w:t>
      </w:r>
      <w:r>
        <w:rPr>
          <w:rFonts w:eastAsia="仿宋_GB2312"/>
          <w:color w:val="auto"/>
          <w:sz w:val="32"/>
          <w:szCs w:val="32"/>
          <w:highlight w:val="none"/>
        </w:rPr>
        <w:t>医疗器械通用名称命名规则</w:t>
      </w:r>
      <w:r>
        <w:rPr>
          <w:rFonts w:hint="eastAsia" w:eastAsia="仿宋_GB2312"/>
          <w:color w:val="auto"/>
          <w:sz w:val="32"/>
          <w:szCs w:val="32"/>
          <w:highlight w:val="none"/>
        </w:rPr>
        <w:t>：</w:t>
      </w:r>
      <w:r>
        <w:rPr>
          <w:rFonts w:eastAsia="仿宋_GB2312"/>
          <w:color w:val="auto"/>
          <w:sz w:val="32"/>
          <w:szCs w:val="28"/>
          <w:highlight w:val="none"/>
        </w:rPr>
        <w:t>国家食品药品监督管理总局令第19号</w:t>
      </w:r>
      <w:r>
        <w:rPr>
          <w:rFonts w:eastAsia="仿宋_GB2312"/>
          <w:color w:val="auto"/>
          <w:sz w:val="32"/>
          <w:szCs w:val="32"/>
          <w:highlight w:val="none"/>
        </w:rPr>
        <w:t>[Z].</w:t>
      </w:r>
    </w:p>
    <w:p>
      <w:pPr>
        <w:keepNext w:val="0"/>
        <w:keepLines w:val="0"/>
        <w:pageBreakBefore w:val="0"/>
        <w:widowControl w:val="0"/>
        <w:kinsoku/>
        <w:wordWrap/>
        <w:topLinePunct w:val="0"/>
        <w:bidi w:val="0"/>
        <w:adjustRightInd/>
        <w:snapToGrid/>
        <w:spacing w:line="520" w:lineRule="exact"/>
        <w:ind w:right="-67" w:rightChars="-32" w:firstLine="640" w:firstLineChars="200"/>
        <w:textAlignment w:val="auto"/>
        <w:rPr>
          <w:rFonts w:eastAsia="仿宋_GB2312"/>
          <w:color w:val="auto"/>
          <w:sz w:val="32"/>
          <w:szCs w:val="32"/>
        </w:rPr>
      </w:pPr>
      <w:r>
        <w:rPr>
          <w:rFonts w:hint="eastAsia" w:eastAsia="仿宋_GB2312"/>
          <w:sz w:val="32"/>
          <w:szCs w:val="32"/>
        </w:rPr>
        <w:t>[</w:t>
      </w:r>
      <w:r>
        <w:rPr>
          <w:rFonts w:hint="eastAsia" w:eastAsia="仿宋_GB2312"/>
          <w:sz w:val="32"/>
          <w:szCs w:val="32"/>
          <w:lang w:val="en-US" w:eastAsia="zh-CN"/>
        </w:rPr>
        <w:t>8</w:t>
      </w:r>
      <w:r>
        <w:rPr>
          <w:rFonts w:hint="eastAsia" w:eastAsia="仿宋_GB2312"/>
          <w:sz w:val="32"/>
          <w:szCs w:val="32"/>
        </w:rPr>
        <w:t>]</w:t>
      </w:r>
      <w:r>
        <w:rPr>
          <w:rFonts w:hint="eastAsia" w:eastAsia="仿宋_GB2312"/>
          <w:color w:val="auto"/>
          <w:kern w:val="0"/>
          <w:sz w:val="32"/>
          <w:szCs w:val="32"/>
        </w:rPr>
        <w:t>国家药品监督管理局医疗器械审评中心</w:t>
      </w:r>
      <w:r>
        <w:rPr>
          <w:rFonts w:eastAsia="仿宋_GB2312"/>
          <w:color w:val="auto"/>
          <w:sz w:val="32"/>
          <w:szCs w:val="32"/>
        </w:rPr>
        <w:t>.医疗器械网络安全注册审查指导原则（2022年修订版）</w:t>
      </w:r>
      <w:r>
        <w:rPr>
          <w:rFonts w:hint="eastAsia" w:eastAsia="仿宋_GB2312"/>
          <w:color w:val="auto"/>
          <w:sz w:val="32"/>
          <w:szCs w:val="32"/>
        </w:rPr>
        <w:t>:</w:t>
      </w:r>
      <w:r>
        <w:rPr>
          <w:rFonts w:hint="eastAsia" w:eastAsia="仿宋_GB2312"/>
          <w:color w:val="auto"/>
          <w:kern w:val="0"/>
          <w:sz w:val="32"/>
          <w:szCs w:val="32"/>
        </w:rPr>
        <w:t>国家药监局器审中心通告2022年第7号</w:t>
      </w:r>
      <w:r>
        <w:rPr>
          <w:rFonts w:eastAsia="仿宋_GB2312"/>
          <w:color w:val="auto"/>
          <w:sz w:val="32"/>
          <w:szCs w:val="32"/>
        </w:rPr>
        <w:t>[Z].</w:t>
      </w:r>
    </w:p>
    <w:p>
      <w:pPr>
        <w:keepNext w:val="0"/>
        <w:keepLines w:val="0"/>
        <w:pageBreakBefore w:val="0"/>
        <w:widowControl w:val="0"/>
        <w:kinsoku/>
        <w:wordWrap/>
        <w:topLinePunct w:val="0"/>
        <w:bidi w:val="0"/>
        <w:adjustRightInd/>
        <w:snapToGrid/>
        <w:spacing w:line="520" w:lineRule="exact"/>
        <w:ind w:right="-67" w:rightChars="-32" w:firstLine="640" w:firstLineChars="200"/>
        <w:textAlignment w:val="auto"/>
        <w:rPr>
          <w:rFonts w:hint="eastAsia" w:eastAsia="仿宋_GB2312"/>
          <w:color w:val="auto"/>
          <w:sz w:val="32"/>
          <w:szCs w:val="28"/>
          <w:highlight w:val="none"/>
          <w:lang w:val="en-US" w:eastAsia="zh-CN"/>
        </w:rPr>
      </w:pPr>
      <w:r>
        <w:rPr>
          <w:rFonts w:hint="eastAsia" w:eastAsia="仿宋_GB2312"/>
          <w:color w:val="auto"/>
          <w:sz w:val="32"/>
          <w:szCs w:val="28"/>
          <w:highlight w:val="none"/>
          <w:lang w:val="en-US" w:eastAsia="zh-CN"/>
        </w:rPr>
        <w:t>[9]GB 9706.1-2020,医用电气设备 第1部分：基本安全和基本性能的通用要求[S].</w:t>
      </w:r>
    </w:p>
    <w:p>
      <w:pPr>
        <w:spacing w:line="520" w:lineRule="exact"/>
        <w:ind w:firstLine="640" w:firstLineChars="200"/>
        <w:rPr>
          <w:rFonts w:eastAsia="仿宋_GB2312"/>
          <w:color w:val="auto"/>
          <w:sz w:val="32"/>
          <w:szCs w:val="32"/>
        </w:rPr>
      </w:pPr>
      <w:r>
        <w:rPr>
          <w:rFonts w:eastAsia="仿宋_GB2312"/>
          <w:color w:val="000000"/>
          <w:sz w:val="32"/>
          <w:szCs w:val="32"/>
        </w:rPr>
        <w:t>[</w:t>
      </w:r>
      <w:r>
        <w:rPr>
          <w:rFonts w:hint="eastAsia" w:eastAsia="仿宋_GB2312"/>
          <w:color w:val="000000"/>
          <w:sz w:val="32"/>
          <w:szCs w:val="32"/>
          <w:lang w:val="en-US" w:eastAsia="zh-CN"/>
        </w:rPr>
        <w:t>10</w:t>
      </w:r>
      <w:r>
        <w:rPr>
          <w:rFonts w:eastAsia="仿宋_GB2312"/>
          <w:color w:val="000000"/>
          <w:sz w:val="32"/>
          <w:szCs w:val="32"/>
        </w:rPr>
        <w:t>]YY</w:t>
      </w:r>
      <w:r>
        <w:rPr>
          <w:rFonts w:hint="eastAsia" w:eastAsia="仿宋_GB2312"/>
          <w:color w:val="000000"/>
          <w:sz w:val="32"/>
          <w:szCs w:val="32"/>
          <w:lang w:val="en-US" w:eastAsia="zh-CN"/>
        </w:rPr>
        <w:t xml:space="preserve"> 9706.102-2021</w:t>
      </w:r>
      <w:r>
        <w:rPr>
          <w:rFonts w:eastAsia="仿宋_GB2312"/>
          <w:color w:val="000000"/>
          <w:sz w:val="32"/>
          <w:szCs w:val="32"/>
        </w:rPr>
        <w:t>,</w:t>
      </w:r>
      <w:r>
        <w:rPr>
          <w:rFonts w:hint="eastAsia" w:eastAsia="仿宋_GB2312"/>
          <w:color w:val="000000"/>
          <w:sz w:val="32"/>
          <w:szCs w:val="32"/>
        </w:rPr>
        <w:t xml:space="preserve"> 医用电气设备 第1-2部分：基本</w:t>
      </w:r>
      <w:r>
        <w:rPr>
          <w:rFonts w:hint="eastAsia" w:eastAsia="仿宋_GB2312"/>
          <w:color w:val="auto"/>
          <w:sz w:val="32"/>
          <w:szCs w:val="32"/>
        </w:rPr>
        <w:t>安全和基本性能的通用要求 并列标准：电磁兼容 要求和试验</w:t>
      </w:r>
      <w:r>
        <w:rPr>
          <w:rFonts w:eastAsia="仿宋_GB2312"/>
          <w:color w:val="auto"/>
          <w:sz w:val="32"/>
          <w:szCs w:val="32"/>
        </w:rPr>
        <w:t>[S].</w:t>
      </w:r>
    </w:p>
    <w:p>
      <w:pPr>
        <w:spacing w:line="520" w:lineRule="exact"/>
        <w:ind w:firstLine="640" w:firstLineChars="200"/>
        <w:rPr>
          <w:rFonts w:hint="eastAsia" w:eastAsia="仿宋_GB2312"/>
          <w:color w:val="auto"/>
          <w:sz w:val="32"/>
          <w:szCs w:val="32"/>
        </w:rPr>
      </w:pPr>
      <w:r>
        <w:rPr>
          <w:rFonts w:eastAsia="仿宋_GB2312"/>
          <w:color w:val="auto"/>
          <w:sz w:val="32"/>
          <w:szCs w:val="32"/>
        </w:rPr>
        <w:t>[</w:t>
      </w:r>
      <w:r>
        <w:rPr>
          <w:rFonts w:hint="eastAsia" w:eastAsia="仿宋_GB2312"/>
          <w:color w:val="auto"/>
          <w:sz w:val="32"/>
          <w:szCs w:val="32"/>
          <w:lang w:val="en-US" w:eastAsia="zh-CN"/>
        </w:rPr>
        <w:t>11</w:t>
      </w:r>
      <w:r>
        <w:rPr>
          <w:rFonts w:eastAsia="仿宋_GB2312"/>
          <w:color w:val="auto"/>
          <w:sz w:val="32"/>
          <w:szCs w:val="32"/>
        </w:rPr>
        <w:t>]YY 9706.230-2023</w:t>
      </w:r>
      <w:r>
        <w:rPr>
          <w:rFonts w:hint="eastAsia" w:eastAsia="仿宋_GB2312"/>
          <w:color w:val="auto"/>
          <w:sz w:val="32"/>
          <w:szCs w:val="32"/>
        </w:rPr>
        <w:t xml:space="preserve"> 医用电气设备 第2-30部分:自动无创血压计的基本安全和基本性能专用要求</w:t>
      </w:r>
      <w:r>
        <w:rPr>
          <w:rFonts w:eastAsia="仿宋_GB2312"/>
          <w:color w:val="auto"/>
          <w:sz w:val="32"/>
          <w:szCs w:val="32"/>
        </w:rPr>
        <w:t>[S]</w:t>
      </w:r>
      <w:r>
        <w:rPr>
          <w:rFonts w:hint="eastAsia" w:eastAsia="仿宋_GB2312"/>
          <w:color w:val="auto"/>
          <w:sz w:val="32"/>
          <w:szCs w:val="32"/>
        </w:rPr>
        <w:t xml:space="preserve"> </w:t>
      </w:r>
    </w:p>
    <w:p>
      <w:pPr>
        <w:spacing w:line="520" w:lineRule="exact"/>
        <w:ind w:firstLine="640" w:firstLineChars="200"/>
        <w:rPr>
          <w:color w:val="auto"/>
        </w:rPr>
      </w:pPr>
      <w:r>
        <w:rPr>
          <w:rFonts w:hint="eastAsia" w:eastAsia="仿宋_GB2312"/>
          <w:color w:val="auto"/>
          <w:sz w:val="32"/>
          <w:szCs w:val="32"/>
        </w:rPr>
        <w:t>[</w:t>
      </w:r>
      <w:r>
        <w:rPr>
          <w:rFonts w:hint="eastAsia" w:eastAsia="仿宋_GB2312"/>
          <w:color w:val="auto"/>
          <w:sz w:val="32"/>
          <w:szCs w:val="32"/>
          <w:lang w:val="en-US" w:eastAsia="zh-CN"/>
        </w:rPr>
        <w:t>12</w:t>
      </w:r>
      <w:r>
        <w:rPr>
          <w:rFonts w:hint="eastAsia" w:eastAsia="仿宋_GB2312"/>
          <w:color w:val="auto"/>
          <w:sz w:val="32"/>
          <w:szCs w:val="32"/>
        </w:rPr>
        <w:t xml:space="preserve">] </w:t>
      </w:r>
      <w:r>
        <w:rPr>
          <w:rFonts w:hint="eastAsia" w:eastAsia="仿宋_GB2312"/>
          <w:color w:val="auto"/>
          <w:sz w:val="32"/>
          <w:szCs w:val="32"/>
          <w:lang w:val="en-US" w:eastAsia="zh-CN"/>
        </w:rPr>
        <w:t>YY 0670-2008</w:t>
      </w:r>
      <w:r>
        <w:rPr>
          <w:rFonts w:eastAsia="仿宋_GB2312"/>
          <w:color w:val="auto"/>
          <w:sz w:val="32"/>
          <w:szCs w:val="32"/>
        </w:rPr>
        <w:t>,</w:t>
      </w:r>
      <w:r>
        <w:rPr>
          <w:rFonts w:hint="eastAsia" w:eastAsia="仿宋_GB2312"/>
          <w:color w:val="auto"/>
          <w:sz w:val="32"/>
          <w:szCs w:val="32"/>
          <w:lang w:val="en-US" w:eastAsia="zh-CN"/>
        </w:rPr>
        <w:t>无创自动测量血压计</w:t>
      </w:r>
      <w:r>
        <w:rPr>
          <w:rFonts w:eastAsia="仿宋_GB2312"/>
          <w:color w:val="auto"/>
          <w:sz w:val="32"/>
          <w:szCs w:val="32"/>
        </w:rPr>
        <w:t>[S]</w:t>
      </w:r>
    </w:p>
    <w:p>
      <w:pPr>
        <w:spacing w:line="520" w:lineRule="exact"/>
        <w:ind w:firstLine="640" w:firstLineChars="200"/>
        <w:rPr>
          <w:rFonts w:hint="eastAsia" w:eastAsia="仿宋_GB2312"/>
          <w:sz w:val="32"/>
          <w:szCs w:val="32"/>
        </w:rPr>
      </w:pPr>
      <w:r>
        <w:rPr>
          <w:rFonts w:eastAsia="仿宋_GB2312"/>
          <w:color w:val="000000"/>
          <w:sz w:val="32"/>
          <w:szCs w:val="32"/>
        </w:rPr>
        <w:t>[</w:t>
      </w:r>
      <w:r>
        <w:rPr>
          <w:rFonts w:hint="eastAsia" w:eastAsia="仿宋_GB2312"/>
          <w:color w:val="000000"/>
          <w:sz w:val="32"/>
          <w:szCs w:val="32"/>
          <w:lang w:val="en-US" w:eastAsia="zh-CN"/>
        </w:rPr>
        <w:t>13</w:t>
      </w:r>
      <w:r>
        <w:rPr>
          <w:rFonts w:eastAsia="仿宋_GB2312"/>
          <w:color w:val="000000"/>
          <w:sz w:val="32"/>
          <w:szCs w:val="32"/>
        </w:rPr>
        <w:t>]</w:t>
      </w:r>
      <w:r>
        <w:rPr>
          <w:rFonts w:hint="eastAsia" w:eastAsia="仿宋_GB2312"/>
          <w:color w:val="000000"/>
          <w:sz w:val="32"/>
          <w:szCs w:val="32"/>
        </w:rPr>
        <w:t>YY 9706.111-2021 医用电气设备 第1-11部分：基本安全和基本性能的通用要求 并列标准：在家庭护理环境中使用的医用电气设备和医用电气系统的要求</w:t>
      </w:r>
      <w:r>
        <w:rPr>
          <w:rFonts w:eastAsia="仿宋_GB2312"/>
          <w:color w:val="000000"/>
          <w:sz w:val="32"/>
          <w:szCs w:val="32"/>
        </w:rPr>
        <w:t>[S]</w:t>
      </w:r>
      <w:r>
        <w:rPr>
          <w:rFonts w:hint="eastAsia" w:eastAsia="仿宋_GB2312"/>
          <w:sz w:val="32"/>
          <w:szCs w:val="32"/>
        </w:rPr>
        <w:t xml:space="preserve">   </w:t>
      </w:r>
    </w:p>
    <w:p>
      <w:pPr>
        <w:spacing w:line="520" w:lineRule="exact"/>
        <w:ind w:firstLine="640" w:firstLineChars="200"/>
        <w:rPr>
          <w:rFonts w:hint="eastAsia" w:eastAsia="仿宋_GB2312"/>
          <w:sz w:val="32"/>
          <w:szCs w:val="32"/>
        </w:rPr>
      </w:pPr>
      <w:r>
        <w:rPr>
          <w:rFonts w:hint="eastAsia" w:eastAsia="仿宋_GB2312"/>
          <w:sz w:val="32"/>
          <w:szCs w:val="32"/>
        </w:rPr>
        <w:t>[</w:t>
      </w:r>
      <w:r>
        <w:rPr>
          <w:rFonts w:hint="eastAsia" w:eastAsia="仿宋_GB2312"/>
          <w:sz w:val="32"/>
          <w:szCs w:val="32"/>
          <w:lang w:val="en-US" w:eastAsia="zh-CN"/>
        </w:rPr>
        <w:t>14</w:t>
      </w:r>
      <w:r>
        <w:rPr>
          <w:rFonts w:hint="eastAsia" w:eastAsia="仿宋_GB2312"/>
          <w:sz w:val="32"/>
          <w:szCs w:val="32"/>
        </w:rPr>
        <w:t>] GB/T 42062,医疗器械 风险管理对医疗器械的应用[</w:t>
      </w:r>
      <w:r>
        <w:rPr>
          <w:rFonts w:eastAsia="仿宋_GB2312"/>
          <w:sz w:val="32"/>
          <w:szCs w:val="32"/>
        </w:rPr>
        <w:t>S].</w:t>
      </w:r>
    </w:p>
    <w:p>
      <w:pPr>
        <w:spacing w:line="520" w:lineRule="exact"/>
        <w:ind w:firstLine="640" w:firstLineChars="200"/>
        <w:rPr>
          <w:rFonts w:eastAsia="仿宋_GB2312"/>
          <w:color w:val="000000"/>
          <w:sz w:val="32"/>
          <w:szCs w:val="32"/>
        </w:rPr>
      </w:pPr>
      <w:r>
        <w:rPr>
          <w:rFonts w:eastAsia="仿宋_GB2312"/>
          <w:color w:val="000000"/>
          <w:sz w:val="32"/>
          <w:szCs w:val="32"/>
        </w:rPr>
        <w:t>[</w:t>
      </w:r>
      <w:r>
        <w:rPr>
          <w:rFonts w:hint="eastAsia" w:eastAsia="仿宋_GB2312"/>
          <w:color w:val="000000"/>
          <w:sz w:val="32"/>
          <w:szCs w:val="32"/>
          <w:lang w:val="en-US" w:eastAsia="zh-CN"/>
        </w:rPr>
        <w:t>15</w:t>
      </w:r>
      <w:r>
        <w:rPr>
          <w:rFonts w:eastAsia="仿宋_GB2312"/>
          <w:color w:val="000000"/>
          <w:sz w:val="32"/>
          <w:szCs w:val="32"/>
        </w:rPr>
        <w:t>]GB/T 16886.1,医疗器械生物学评价第1部分：风险管理过程中的评价与试验[S].</w:t>
      </w:r>
    </w:p>
    <w:p>
      <w:pPr>
        <w:widowControl/>
        <w:spacing w:line="520" w:lineRule="exact"/>
        <w:ind w:firstLine="640" w:firstLineChars="200"/>
        <w:outlineLvl w:val="0"/>
        <w:rPr>
          <w:rFonts w:eastAsia="仿宋_GB2312"/>
          <w:color w:val="000000"/>
          <w:sz w:val="32"/>
          <w:szCs w:val="32"/>
        </w:rPr>
      </w:pPr>
      <w:r>
        <w:rPr>
          <w:rFonts w:eastAsia="仿宋_GB2312"/>
          <w:color w:val="000000"/>
          <w:sz w:val="32"/>
          <w:szCs w:val="32"/>
        </w:rPr>
        <w:t>[</w:t>
      </w:r>
      <w:r>
        <w:rPr>
          <w:rFonts w:hint="eastAsia" w:eastAsia="仿宋_GB2312"/>
          <w:color w:val="000000"/>
          <w:sz w:val="32"/>
          <w:szCs w:val="32"/>
          <w:lang w:val="en-US" w:eastAsia="zh-CN"/>
        </w:rPr>
        <w:t>16</w:t>
      </w:r>
      <w:r>
        <w:rPr>
          <w:rFonts w:eastAsia="仿宋_GB2312"/>
          <w:color w:val="000000"/>
          <w:sz w:val="32"/>
          <w:szCs w:val="32"/>
        </w:rPr>
        <w:t>]GB/T 16886.5,医疗器械生物学评价第5部分：体外细胞毒性试验[S].</w:t>
      </w:r>
    </w:p>
    <w:p>
      <w:pPr>
        <w:spacing w:line="520" w:lineRule="exact"/>
        <w:ind w:firstLine="640" w:firstLineChars="200"/>
        <w:rPr>
          <w:rFonts w:eastAsia="仿宋_GB2312"/>
          <w:color w:val="000000"/>
          <w:sz w:val="32"/>
          <w:szCs w:val="32"/>
        </w:rPr>
      </w:pPr>
      <w:r>
        <w:rPr>
          <w:rFonts w:eastAsia="仿宋_GB2312"/>
          <w:color w:val="000000"/>
          <w:sz w:val="32"/>
          <w:szCs w:val="32"/>
        </w:rPr>
        <w:t>[</w:t>
      </w:r>
      <w:r>
        <w:rPr>
          <w:rFonts w:hint="eastAsia" w:eastAsia="仿宋_GB2312"/>
          <w:color w:val="000000"/>
          <w:sz w:val="32"/>
          <w:szCs w:val="32"/>
          <w:lang w:val="en-US" w:eastAsia="zh-CN"/>
        </w:rPr>
        <w:t>17</w:t>
      </w:r>
      <w:r>
        <w:rPr>
          <w:rFonts w:eastAsia="仿宋_GB2312"/>
          <w:color w:val="000000"/>
          <w:sz w:val="32"/>
          <w:szCs w:val="32"/>
        </w:rPr>
        <w:t>]GB/T 16886.10,医疗器械生物学评价第10部分：刺激与皮肤致敏试验[S].</w:t>
      </w:r>
    </w:p>
    <w:p>
      <w:pPr>
        <w:spacing w:line="520" w:lineRule="exact"/>
        <w:ind w:firstLine="640" w:firstLineChars="200"/>
        <w:rPr>
          <w:rFonts w:eastAsia="仿宋_GB2312"/>
          <w:color w:val="000000"/>
          <w:sz w:val="32"/>
          <w:szCs w:val="32"/>
        </w:rPr>
      </w:pPr>
      <w:r>
        <w:rPr>
          <w:rFonts w:eastAsia="仿宋_GB2312"/>
          <w:color w:val="000000"/>
          <w:sz w:val="32"/>
          <w:szCs w:val="32"/>
        </w:rPr>
        <w:t>[</w:t>
      </w:r>
      <w:r>
        <w:rPr>
          <w:rFonts w:hint="eastAsia" w:eastAsia="仿宋_GB2312"/>
          <w:color w:val="000000"/>
          <w:sz w:val="32"/>
          <w:szCs w:val="32"/>
          <w:lang w:val="en-US" w:eastAsia="zh-CN"/>
        </w:rPr>
        <w:t>18</w:t>
      </w:r>
      <w:r>
        <w:rPr>
          <w:rFonts w:eastAsia="仿宋_GB2312"/>
          <w:color w:val="000000"/>
          <w:sz w:val="32"/>
          <w:szCs w:val="32"/>
        </w:rPr>
        <w:t>]WS/T 367,医疗机构消毒技术规范[S].</w:t>
      </w:r>
    </w:p>
    <w:p>
      <w:pPr>
        <w:pStyle w:val="2"/>
      </w:pPr>
    </w:p>
    <w:p>
      <w:pPr>
        <w:pStyle w:val="2"/>
      </w:pPr>
    </w:p>
    <w:p>
      <w:pPr>
        <w:pStyle w:val="2"/>
        <w:rPr>
          <w:rFonts w:hint="eastAsia"/>
        </w:rPr>
      </w:pPr>
    </w:p>
    <w:p>
      <w:pPr>
        <w:kinsoku w:val="0"/>
        <w:overflowPunct w:val="0"/>
        <w:spacing w:before="120" w:line="520" w:lineRule="exact"/>
        <w:ind w:firstLine="640" w:firstLineChars="200"/>
        <w:outlineLvl w:val="0"/>
        <w:rPr>
          <w:rFonts w:eastAsia="仿宋_GB2312"/>
          <w:snapToGrid w:val="0"/>
          <w:kern w:val="0"/>
          <w:sz w:val="32"/>
          <w:szCs w:val="32"/>
        </w:rPr>
      </w:pPr>
    </w:p>
    <w:p>
      <w:pPr>
        <w:tabs>
          <w:tab w:val="left" w:pos="315"/>
        </w:tabs>
        <w:kinsoku w:val="0"/>
        <w:overflowPunct w:val="0"/>
        <w:spacing w:before="120" w:line="520" w:lineRule="exact"/>
        <w:ind w:firstLine="640" w:firstLineChars="200"/>
        <w:outlineLvl w:val="0"/>
        <w:rPr>
          <w:rFonts w:hint="eastAsia" w:eastAsia="仿宋_GB2312"/>
          <w:snapToGrid w:val="0"/>
          <w:kern w:val="0"/>
          <w:sz w:val="32"/>
          <w:szCs w:val="32"/>
        </w:rPr>
      </w:pPr>
      <w:r>
        <w:rPr>
          <w:rFonts w:hint="eastAsia" w:eastAsia="仿宋_GB2312"/>
          <w:snapToGrid w:val="0"/>
          <w:kern w:val="0"/>
          <w:sz w:val="32"/>
          <w:szCs w:val="32"/>
          <w:lang w:eastAsia="zh-CN"/>
        </w:rPr>
        <w:tab/>
      </w:r>
      <w:r>
        <w:rPr>
          <w:rFonts w:eastAsia="仿宋_GB2312"/>
          <w:snapToGrid w:val="0"/>
          <w:kern w:val="0"/>
          <w:sz w:val="32"/>
          <w:szCs w:val="32"/>
        </w:rPr>
        <w:t>附</w:t>
      </w:r>
      <w:r>
        <w:rPr>
          <w:rFonts w:hint="eastAsia" w:eastAsia="仿宋_GB2312"/>
          <w:snapToGrid w:val="0"/>
          <w:kern w:val="0"/>
          <w:sz w:val="32"/>
          <w:szCs w:val="32"/>
        </w:rPr>
        <w:t>件：</w:t>
      </w:r>
      <w:r>
        <w:rPr>
          <w:rFonts w:eastAsia="仿宋_GB2312"/>
          <w:snapToGrid w:val="0"/>
          <w:kern w:val="0"/>
          <w:sz w:val="32"/>
          <w:szCs w:val="32"/>
        </w:rPr>
        <w:t>风险管理文档</w:t>
      </w:r>
      <w:r>
        <w:rPr>
          <w:rFonts w:hint="eastAsia" w:eastAsia="仿宋_GB2312"/>
          <w:snapToGrid w:val="0"/>
          <w:kern w:val="0"/>
          <w:sz w:val="32"/>
          <w:szCs w:val="32"/>
        </w:rPr>
        <w:t xml:space="preserve">  </w:t>
      </w:r>
    </w:p>
    <w:p>
      <w:pPr>
        <w:overflowPunct w:val="0"/>
        <w:autoSpaceDE w:val="0"/>
        <w:autoSpaceDN w:val="0"/>
        <w:spacing w:line="520" w:lineRule="exact"/>
        <w:ind w:left="426" w:hanging="425" w:hangingChars="133"/>
        <w:jc w:val="left"/>
        <w:outlineLvl w:val="0"/>
        <w:rPr>
          <w:rFonts w:hint="eastAsia" w:eastAsia="黑体" w:cs="黑体"/>
          <w:snapToGrid w:val="0"/>
          <w:kern w:val="0"/>
          <w:sz w:val="32"/>
          <w:szCs w:val="32"/>
        </w:rPr>
      </w:pPr>
      <w:r>
        <w:rPr>
          <w:rFonts w:eastAsia="黑体" w:cs="黑体"/>
          <w:snapToGrid w:val="0"/>
          <w:kern w:val="0"/>
          <w:sz w:val="32"/>
          <w:szCs w:val="32"/>
        </w:rPr>
        <w:br w:type="page"/>
      </w:r>
      <w:r>
        <w:rPr>
          <w:rFonts w:hint="eastAsia" w:eastAsia="黑体" w:cs="黑体"/>
          <w:snapToGrid w:val="0"/>
          <w:kern w:val="0"/>
          <w:sz w:val="32"/>
          <w:szCs w:val="32"/>
        </w:rPr>
        <w:t>附件</w:t>
      </w:r>
    </w:p>
    <w:p>
      <w:pPr>
        <w:jc w:val="center"/>
        <w:rPr>
          <w:rFonts w:hint="eastAsia" w:eastAsia="方正小标宋简体"/>
          <w:b/>
          <w:snapToGrid w:val="0"/>
          <w:sz w:val="44"/>
          <w:szCs w:val="44"/>
          <w:lang w:val="zh-CN"/>
        </w:rPr>
      </w:pPr>
      <w:r>
        <w:rPr>
          <w:rFonts w:hint="eastAsia" w:eastAsia="方正小标宋简体"/>
          <w:b w:val="0"/>
          <w:bCs/>
          <w:snapToGrid w:val="0"/>
          <w:sz w:val="44"/>
          <w:szCs w:val="44"/>
          <w:lang w:val="zh-CN"/>
        </w:rPr>
        <w:t>风险管理文档</w:t>
      </w:r>
    </w:p>
    <w:p>
      <w:pPr>
        <w:ind w:firstLine="640" w:firstLineChars="200"/>
        <w:rPr>
          <w:rFonts w:hint="eastAsia" w:eastAsia="仿宋_GB2312"/>
          <w:sz w:val="32"/>
          <w:szCs w:val="32"/>
          <w:lang w:eastAsia="zh-CN"/>
        </w:rPr>
      </w:pPr>
      <w:r>
        <w:rPr>
          <w:rFonts w:hint="eastAsia" w:eastAsia="仿宋_GB2312"/>
          <w:sz w:val="32"/>
          <w:szCs w:val="32"/>
        </w:rPr>
        <w:t>下表所列为常见可预见事件序列／可能的伤害示例，需关注：</w:t>
      </w:r>
    </w:p>
    <w:p>
      <w:pPr>
        <w:spacing w:line="520" w:lineRule="exact"/>
        <w:ind w:firstLine="560" w:firstLineChars="200"/>
        <w:rPr>
          <w:rFonts w:hint="eastAsia" w:eastAsia="黑体"/>
          <w:sz w:val="28"/>
          <w:szCs w:val="28"/>
        </w:rPr>
      </w:pPr>
    </w:p>
    <w:p>
      <w:pPr>
        <w:widowControl w:val="0"/>
        <w:spacing w:line="520" w:lineRule="exact"/>
        <w:jc w:val="cente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电子血压计的危害类型及形成因素</w:t>
      </w:r>
    </w:p>
    <w:tbl>
      <w:tblPr>
        <w:tblStyle w:val="17"/>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5"/>
        <w:gridCol w:w="2693"/>
        <w:gridCol w:w="2464"/>
        <w:gridCol w:w="22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545" w:type="dxa"/>
          </w:tcPr>
          <w:p>
            <w:pPr>
              <w:widowControl w:val="0"/>
              <w:jc w:val="center"/>
              <w:rPr>
                <w:rFonts w:hint="default" w:ascii="Times New Roman" w:hAnsi="Times New Roman" w:eastAsia="仿宋_GB2312" w:cs="Times New Roman"/>
                <w:b/>
                <w:sz w:val="28"/>
                <w:szCs w:val="28"/>
                <w:lang w:val="en-US" w:eastAsia="zh-CN"/>
              </w:rPr>
            </w:pPr>
            <w:r>
              <w:rPr>
                <w:rFonts w:hint="eastAsia" w:eastAsia="仿宋_GB2312" w:cs="Times New Roman"/>
                <w:b/>
                <w:sz w:val="28"/>
                <w:szCs w:val="28"/>
                <w:lang w:val="en-US" w:eastAsia="zh-CN"/>
              </w:rPr>
              <w:t>危险</w:t>
            </w:r>
          </w:p>
        </w:tc>
        <w:tc>
          <w:tcPr>
            <w:tcW w:w="2693" w:type="dxa"/>
          </w:tcPr>
          <w:p>
            <w:pPr>
              <w:widowControl w:val="0"/>
              <w:ind w:left="-86" w:leftChars="-41" w:right="-126" w:rightChars="-60"/>
              <w:rPr>
                <w:rFonts w:ascii="Times New Roman" w:hAnsi="Times New Roman" w:eastAsia="仿宋_GB2312" w:cs="Times New Roman"/>
                <w:b/>
                <w:sz w:val="28"/>
                <w:szCs w:val="28"/>
              </w:rPr>
            </w:pPr>
            <w:r>
              <w:rPr>
                <w:rFonts w:hint="eastAsia" w:ascii="Times New Roman" w:hAnsi="Times New Roman" w:eastAsia="仿宋_GB2312" w:cs="Times New Roman"/>
                <w:b/>
                <w:sz w:val="28"/>
                <w:szCs w:val="28"/>
              </w:rPr>
              <w:t>可预见的事件序列</w:t>
            </w:r>
          </w:p>
        </w:tc>
        <w:tc>
          <w:tcPr>
            <w:tcW w:w="2464" w:type="dxa"/>
          </w:tcPr>
          <w:p>
            <w:pPr>
              <w:widowControl w:val="0"/>
              <w:jc w:val="center"/>
              <w:rPr>
                <w:rFonts w:hint="eastAsia" w:ascii="Times New Roman" w:hAnsi="Times New Roman" w:eastAsia="仿宋_GB2312" w:cs="Times New Roman"/>
                <w:b/>
                <w:sz w:val="28"/>
                <w:szCs w:val="28"/>
                <w:lang w:eastAsia="zh-CN"/>
              </w:rPr>
            </w:pPr>
            <w:r>
              <w:rPr>
                <w:rFonts w:hint="eastAsia" w:ascii="Times New Roman" w:hAnsi="Times New Roman" w:eastAsia="仿宋_GB2312" w:cs="Times New Roman"/>
                <w:b/>
                <w:sz w:val="28"/>
                <w:szCs w:val="28"/>
              </w:rPr>
              <w:t>危</w:t>
            </w:r>
            <w:r>
              <w:rPr>
                <w:rFonts w:hint="eastAsia" w:eastAsia="仿宋_GB2312" w:cs="Times New Roman"/>
                <w:b/>
                <w:sz w:val="28"/>
                <w:szCs w:val="28"/>
                <w:lang w:val="en-US" w:eastAsia="zh-CN"/>
              </w:rPr>
              <w:t>险情况</w:t>
            </w:r>
          </w:p>
        </w:tc>
        <w:tc>
          <w:tcPr>
            <w:tcW w:w="2226" w:type="dxa"/>
          </w:tcPr>
          <w:p>
            <w:pPr>
              <w:widowControl w:val="0"/>
              <w:jc w:val="center"/>
              <w:rPr>
                <w:rFonts w:ascii="Times New Roman" w:hAnsi="Times New Roman" w:eastAsia="仿宋_GB2312" w:cs="Times New Roman"/>
                <w:b/>
                <w:sz w:val="28"/>
                <w:szCs w:val="28"/>
              </w:rPr>
            </w:pPr>
            <w:r>
              <w:rPr>
                <w:rFonts w:hint="eastAsia" w:eastAsia="仿宋_GB2312" w:cs="Times New Roman"/>
                <w:b/>
                <w:sz w:val="28"/>
                <w:szCs w:val="28"/>
                <w:lang w:val="en-US" w:eastAsia="zh-CN"/>
              </w:rPr>
              <w:t>伤</w:t>
            </w:r>
            <w:r>
              <w:rPr>
                <w:rFonts w:hint="eastAsia" w:ascii="Times New Roman" w:hAnsi="Times New Roman" w:eastAsia="仿宋_GB2312" w:cs="Times New Roman"/>
                <w:b/>
                <w:sz w:val="28"/>
                <w:szCs w:val="28"/>
              </w:rPr>
              <w:t>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1545" w:type="dxa"/>
            <w:vMerge w:val="restart"/>
            <w:vAlign w:val="center"/>
          </w:tcPr>
          <w:p>
            <w:pPr>
              <w:widowControl w:val="0"/>
              <w:spacing w:line="440" w:lineRule="exact"/>
              <w:jc w:val="both"/>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rPr>
              <w:t>电磁</w:t>
            </w:r>
            <w:r>
              <w:rPr>
                <w:rFonts w:hint="eastAsia" w:eastAsia="仿宋_GB2312" w:cs="Times New Roman"/>
                <w:sz w:val="28"/>
                <w:szCs w:val="28"/>
                <w:lang w:val="en-US" w:eastAsia="zh-CN"/>
              </w:rPr>
              <w:t>能</w:t>
            </w:r>
            <w:r>
              <w:rPr>
                <w:rFonts w:hint="eastAsia" w:eastAsia="仿宋_GB2312" w:cs="Times New Roman"/>
                <w:sz w:val="28"/>
                <w:szCs w:val="28"/>
                <w:lang w:eastAsia="zh-CN"/>
              </w:rPr>
              <w:t>（</w:t>
            </w:r>
            <w:r>
              <w:rPr>
                <w:rFonts w:hint="eastAsia" w:eastAsia="仿宋_GB2312" w:cs="Times New Roman"/>
                <w:sz w:val="28"/>
                <w:szCs w:val="28"/>
                <w:lang w:val="en-US" w:eastAsia="zh-CN"/>
              </w:rPr>
              <w:t>高压</w:t>
            </w:r>
            <w:r>
              <w:rPr>
                <w:rFonts w:hint="eastAsia" w:eastAsia="仿宋_GB2312" w:cs="Times New Roman"/>
                <w:sz w:val="28"/>
                <w:szCs w:val="28"/>
                <w:lang w:eastAsia="zh-CN"/>
              </w:rPr>
              <w:t>）</w:t>
            </w:r>
          </w:p>
        </w:tc>
        <w:tc>
          <w:tcPr>
            <w:tcW w:w="2693" w:type="dxa"/>
            <w:vMerge w:val="restart"/>
            <w:vAlign w:val="center"/>
          </w:tcPr>
          <w:p>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在强电磁辐射源附近使用电子血压计测量，干扰程序运行，测量错误、测量结果误差过大</w:t>
            </w:r>
          </w:p>
        </w:tc>
        <w:tc>
          <w:tcPr>
            <w:tcW w:w="2464" w:type="dxa"/>
            <w:vAlign w:val="center"/>
          </w:tcPr>
          <w:p>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依据过高读数服用降压药物，导致药物剂量过量</w:t>
            </w:r>
          </w:p>
        </w:tc>
        <w:tc>
          <w:tcPr>
            <w:tcW w:w="2226" w:type="dxa"/>
            <w:vAlign w:val="center"/>
          </w:tcPr>
          <w:p>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低血压、严重时可能危及生命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1545" w:type="dxa"/>
            <w:vMerge w:val="continue"/>
            <w:vAlign w:val="center"/>
          </w:tcPr>
          <w:p>
            <w:pPr>
              <w:widowControl w:val="0"/>
              <w:spacing w:line="440" w:lineRule="exact"/>
              <w:jc w:val="both"/>
              <w:rPr>
                <w:rFonts w:ascii="Times New Roman" w:hAnsi="Times New Roman" w:eastAsia="仿宋_GB2312" w:cs="Times New Roman"/>
                <w:sz w:val="28"/>
                <w:szCs w:val="28"/>
              </w:rPr>
            </w:pPr>
          </w:p>
        </w:tc>
        <w:tc>
          <w:tcPr>
            <w:tcW w:w="2693" w:type="dxa"/>
            <w:vMerge w:val="continue"/>
            <w:vAlign w:val="center"/>
          </w:tcPr>
          <w:p>
            <w:pPr>
              <w:widowControl w:val="0"/>
              <w:spacing w:line="440" w:lineRule="exact"/>
              <w:jc w:val="both"/>
              <w:rPr>
                <w:rFonts w:ascii="Times New Roman" w:hAnsi="Times New Roman" w:eastAsia="仿宋_GB2312" w:cs="Times New Roman"/>
                <w:sz w:val="28"/>
                <w:szCs w:val="28"/>
              </w:rPr>
            </w:pPr>
          </w:p>
        </w:tc>
        <w:tc>
          <w:tcPr>
            <w:tcW w:w="2464" w:type="dxa"/>
            <w:vAlign w:val="center"/>
          </w:tcPr>
          <w:p>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依据过低读数减少药物剂量</w:t>
            </w:r>
          </w:p>
        </w:tc>
        <w:tc>
          <w:tcPr>
            <w:tcW w:w="2226" w:type="dxa"/>
            <w:vAlign w:val="center"/>
          </w:tcPr>
          <w:p>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高血压未经控制，严重时引起中风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545" w:type="dxa"/>
            <w:vMerge w:val="continue"/>
            <w:vAlign w:val="center"/>
          </w:tcPr>
          <w:p>
            <w:pPr>
              <w:widowControl w:val="0"/>
              <w:spacing w:line="440" w:lineRule="exact"/>
              <w:ind w:left="-69" w:leftChars="-33" w:right="-126" w:rightChars="-60"/>
              <w:jc w:val="both"/>
              <w:rPr>
                <w:rFonts w:ascii="Times New Roman" w:hAnsi="Times New Roman" w:eastAsia="仿宋_GB2312" w:cs="Times New Roman"/>
                <w:sz w:val="28"/>
                <w:szCs w:val="28"/>
              </w:rPr>
            </w:pPr>
          </w:p>
        </w:tc>
        <w:tc>
          <w:tcPr>
            <w:tcW w:w="2693" w:type="dxa"/>
            <w:vAlign w:val="center"/>
          </w:tcPr>
          <w:p>
            <w:pPr>
              <w:widowControl w:val="0"/>
              <w:spacing w:line="440" w:lineRule="exact"/>
              <w:ind w:left="-69" w:leftChars="-33" w:right="-126" w:rightChars="-60"/>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电源线中有浪涌能量</w:t>
            </w:r>
          </w:p>
          <w:p>
            <w:pPr>
              <w:widowControl w:val="0"/>
              <w:spacing w:line="440" w:lineRule="exact"/>
              <w:ind w:left="-69" w:leftChars="-33" w:right="-126" w:rightChars="-60"/>
              <w:jc w:val="both"/>
              <w:rPr>
                <w:rFonts w:ascii="Times New Roman" w:hAnsi="Times New Roman" w:eastAsia="仿宋_GB2312" w:cs="Times New Roman"/>
                <w:sz w:val="28"/>
                <w:szCs w:val="28"/>
              </w:rPr>
            </w:pPr>
          </w:p>
        </w:tc>
        <w:tc>
          <w:tcPr>
            <w:tcW w:w="2464" w:type="dxa"/>
            <w:vAlign w:val="center"/>
          </w:tcPr>
          <w:p>
            <w:pPr>
              <w:widowControl w:val="0"/>
              <w:spacing w:line="440" w:lineRule="exact"/>
              <w:ind w:left="-69" w:leftChars="-33" w:right="-126" w:rightChars="-60"/>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设备故障、寿命缩短</w:t>
            </w:r>
          </w:p>
        </w:tc>
        <w:tc>
          <w:tcPr>
            <w:tcW w:w="2226" w:type="dxa"/>
            <w:vAlign w:val="center"/>
          </w:tcPr>
          <w:p>
            <w:pPr>
              <w:widowControl w:val="0"/>
              <w:spacing w:line="440" w:lineRule="exact"/>
              <w:ind w:left="-69" w:leftChars="-33" w:right="-126" w:rightChars="-60"/>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设备无法及时使用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545" w:type="dxa"/>
            <w:vMerge w:val="continue"/>
            <w:vAlign w:val="center"/>
          </w:tcPr>
          <w:p>
            <w:pPr>
              <w:widowControl w:val="0"/>
              <w:spacing w:line="440" w:lineRule="exact"/>
              <w:ind w:left="-69" w:leftChars="-33" w:right="-126" w:rightChars="-60"/>
              <w:jc w:val="both"/>
              <w:rPr>
                <w:rFonts w:ascii="Times New Roman" w:hAnsi="Times New Roman" w:eastAsia="仿宋_GB2312" w:cs="Times New Roman"/>
                <w:sz w:val="28"/>
                <w:szCs w:val="28"/>
              </w:rPr>
            </w:pPr>
          </w:p>
        </w:tc>
        <w:tc>
          <w:tcPr>
            <w:tcW w:w="2693" w:type="dxa"/>
            <w:vAlign w:val="center"/>
          </w:tcPr>
          <w:p>
            <w:pPr>
              <w:widowControl w:val="0"/>
              <w:spacing w:line="440" w:lineRule="exact"/>
              <w:ind w:left="-69" w:leftChars="-33" w:right="-126" w:rightChars="-60"/>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静电放电</w:t>
            </w:r>
          </w:p>
        </w:tc>
        <w:tc>
          <w:tcPr>
            <w:tcW w:w="2464" w:type="dxa"/>
            <w:vAlign w:val="center"/>
          </w:tcPr>
          <w:p>
            <w:pPr>
              <w:widowControl w:val="0"/>
              <w:spacing w:line="440" w:lineRule="exact"/>
              <w:ind w:left="-69" w:leftChars="-33" w:right="-126" w:rightChars="-60"/>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干扰程序运行</w:t>
            </w:r>
          </w:p>
        </w:tc>
        <w:tc>
          <w:tcPr>
            <w:tcW w:w="2226" w:type="dxa"/>
            <w:vAlign w:val="center"/>
          </w:tcPr>
          <w:p>
            <w:pPr>
              <w:widowControl w:val="0"/>
              <w:spacing w:line="440" w:lineRule="exact"/>
              <w:ind w:left="-69" w:leftChars="-33" w:right="-126" w:rightChars="-60"/>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导致测量结果误差过大、或数据擦除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5" w:type="dxa"/>
            <w:vAlign w:val="center"/>
          </w:tcPr>
          <w:p>
            <w:pPr>
              <w:widowControl w:val="0"/>
              <w:spacing w:line="440" w:lineRule="exact"/>
              <w:ind w:left="-69" w:leftChars="-33" w:right="-126" w:rightChars="-60"/>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漏电流</w:t>
            </w:r>
          </w:p>
        </w:tc>
        <w:tc>
          <w:tcPr>
            <w:tcW w:w="2693" w:type="dxa"/>
            <w:vAlign w:val="center"/>
          </w:tcPr>
          <w:p>
            <w:pPr>
              <w:widowControl w:val="0"/>
              <w:spacing w:line="440" w:lineRule="exact"/>
              <w:ind w:left="-69" w:leftChars="-33" w:right="-126" w:rightChars="-60"/>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产品配用漏电流超标的电源适配器</w:t>
            </w:r>
          </w:p>
        </w:tc>
        <w:tc>
          <w:tcPr>
            <w:tcW w:w="2464" w:type="dxa"/>
            <w:vAlign w:val="center"/>
          </w:tcPr>
          <w:p>
            <w:pPr>
              <w:widowControl w:val="0"/>
              <w:spacing w:line="440" w:lineRule="exact"/>
              <w:ind w:left="-69" w:leftChars="-33" w:right="-126" w:rightChars="-60"/>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使用者、患者接触适配器上的插头、或接触信号输入</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输出插头</w:t>
            </w:r>
          </w:p>
        </w:tc>
        <w:tc>
          <w:tcPr>
            <w:tcW w:w="2226" w:type="dxa"/>
            <w:vAlign w:val="center"/>
          </w:tcPr>
          <w:p>
            <w:pPr>
              <w:widowControl w:val="0"/>
              <w:spacing w:line="440" w:lineRule="exact"/>
              <w:ind w:left="-69" w:leftChars="-33" w:right="-126" w:rightChars="-60"/>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灼伤、严重时死亡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5" w:type="dxa"/>
            <w:vAlign w:val="center"/>
          </w:tcPr>
          <w:p>
            <w:pPr>
              <w:widowControl w:val="0"/>
              <w:spacing w:line="440" w:lineRule="exact"/>
              <w:ind w:left="-69" w:leftChars="-33" w:right="-126" w:rightChars="-60"/>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热能</w:t>
            </w:r>
          </w:p>
        </w:tc>
        <w:tc>
          <w:tcPr>
            <w:tcW w:w="2693" w:type="dxa"/>
            <w:vAlign w:val="center"/>
          </w:tcPr>
          <w:p>
            <w:pPr>
              <w:widowControl w:val="0"/>
              <w:spacing w:line="440" w:lineRule="exact"/>
              <w:ind w:left="-69" w:leftChars="-33" w:right="-126" w:rightChars="-60"/>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使用负载能力较差的电源适配器</w:t>
            </w:r>
          </w:p>
        </w:tc>
        <w:tc>
          <w:tcPr>
            <w:tcW w:w="2464" w:type="dxa"/>
            <w:vAlign w:val="center"/>
          </w:tcPr>
          <w:p>
            <w:pPr>
              <w:widowControl w:val="0"/>
              <w:spacing w:line="440" w:lineRule="exact"/>
              <w:ind w:left="-69" w:leftChars="-33" w:right="-126" w:rightChars="-60"/>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适配器中的部件过热</w:t>
            </w:r>
          </w:p>
        </w:tc>
        <w:tc>
          <w:tcPr>
            <w:tcW w:w="2226" w:type="dxa"/>
            <w:vAlign w:val="center"/>
          </w:tcPr>
          <w:p>
            <w:pPr>
              <w:widowControl w:val="0"/>
              <w:spacing w:line="440" w:lineRule="exact"/>
              <w:ind w:left="-69" w:leftChars="-33" w:right="-126" w:rightChars="-60"/>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烫伤、严重时起火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5" w:type="dxa"/>
            <w:vMerge w:val="restart"/>
            <w:vAlign w:val="center"/>
          </w:tcPr>
          <w:p>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机械能</w:t>
            </w:r>
          </w:p>
        </w:tc>
        <w:tc>
          <w:tcPr>
            <w:tcW w:w="2693" w:type="dxa"/>
            <w:vAlign w:val="center"/>
          </w:tcPr>
          <w:p>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用于成人的血压计被用于新生儿、</w:t>
            </w:r>
          </w:p>
          <w:p>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产品最高袖带压未作规定或限值过高、</w:t>
            </w:r>
          </w:p>
          <w:p>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测量周期过长、</w:t>
            </w:r>
          </w:p>
          <w:p>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放气阀门故障导致放气失败</w:t>
            </w:r>
          </w:p>
        </w:tc>
        <w:tc>
          <w:tcPr>
            <w:tcW w:w="2464" w:type="dxa"/>
            <w:vAlign w:val="center"/>
          </w:tcPr>
          <w:p>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过高、过长时间的压力作用于人体</w:t>
            </w:r>
          </w:p>
        </w:tc>
        <w:tc>
          <w:tcPr>
            <w:tcW w:w="2226" w:type="dxa"/>
            <w:vAlign w:val="center"/>
          </w:tcPr>
          <w:p>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淤血、感觉不适、外周血管阻滞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5" w:type="dxa"/>
            <w:vMerge w:val="continue"/>
            <w:vAlign w:val="center"/>
          </w:tcPr>
          <w:p>
            <w:pPr>
              <w:widowControl w:val="0"/>
              <w:spacing w:line="440" w:lineRule="exact"/>
              <w:jc w:val="both"/>
              <w:rPr>
                <w:rFonts w:ascii="Times New Roman" w:hAnsi="Times New Roman" w:eastAsia="仿宋_GB2312" w:cs="Times New Roman"/>
                <w:sz w:val="28"/>
                <w:szCs w:val="28"/>
              </w:rPr>
            </w:pPr>
          </w:p>
        </w:tc>
        <w:tc>
          <w:tcPr>
            <w:tcW w:w="2693" w:type="dxa"/>
            <w:vAlign w:val="center"/>
          </w:tcPr>
          <w:p>
            <w:pPr>
              <w:widowControl w:val="0"/>
              <w:spacing w:line="440" w:lineRule="exact"/>
              <w:ind w:left="-150" w:firstLine="140" w:firstLineChars="50"/>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产品意外坠落</w:t>
            </w:r>
          </w:p>
        </w:tc>
        <w:tc>
          <w:tcPr>
            <w:tcW w:w="2464" w:type="dxa"/>
            <w:vAlign w:val="center"/>
          </w:tcPr>
          <w:p>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机械部件松动，液晶板接触不良</w:t>
            </w:r>
          </w:p>
        </w:tc>
        <w:tc>
          <w:tcPr>
            <w:tcW w:w="2226" w:type="dxa"/>
            <w:vAlign w:val="center"/>
          </w:tcPr>
          <w:p>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无法测量或测量误差过大，数据无法读取，严重时延误治疗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545" w:type="dxa"/>
            <w:vMerge w:val="restart"/>
            <w:vAlign w:val="center"/>
          </w:tcPr>
          <w:p>
            <w:pPr>
              <w:widowControl w:val="0"/>
              <w:spacing w:line="440" w:lineRule="exact"/>
              <w:jc w:val="both"/>
              <w:rPr>
                <w:rFonts w:hint="eastAsia" w:ascii="Times New Roman" w:hAnsi="Times New Roman" w:eastAsia="仿宋_GB2312" w:cs="Times New Roman"/>
                <w:sz w:val="28"/>
                <w:szCs w:val="28"/>
                <w:lang w:eastAsia="zh-CN"/>
              </w:rPr>
            </w:pPr>
            <w:r>
              <w:rPr>
                <w:rFonts w:hint="eastAsia" w:eastAsia="仿宋_GB2312" w:cs="Times New Roman"/>
                <w:sz w:val="28"/>
                <w:szCs w:val="28"/>
                <w:lang w:val="en-US" w:eastAsia="zh-CN"/>
              </w:rPr>
              <w:t>测量（</w:t>
            </w:r>
            <w:r>
              <w:rPr>
                <w:rFonts w:hint="eastAsia" w:ascii="Times New Roman" w:hAnsi="Times New Roman" w:eastAsia="仿宋_GB2312" w:cs="Times New Roman"/>
                <w:sz w:val="28"/>
                <w:szCs w:val="28"/>
              </w:rPr>
              <w:t>不正确的</w:t>
            </w:r>
            <w:r>
              <w:rPr>
                <w:rFonts w:hint="eastAsia" w:eastAsia="仿宋_GB2312" w:cs="Times New Roman"/>
                <w:sz w:val="28"/>
                <w:szCs w:val="28"/>
                <w:lang w:val="en-US" w:eastAsia="zh-CN"/>
              </w:rPr>
              <w:t>信息）</w:t>
            </w:r>
          </w:p>
        </w:tc>
        <w:tc>
          <w:tcPr>
            <w:tcW w:w="2693" w:type="dxa"/>
            <w:vMerge w:val="restart"/>
            <w:vAlign w:val="center"/>
          </w:tcPr>
          <w:p>
            <w:pPr>
              <w:widowControl w:val="0"/>
              <w:spacing w:line="440" w:lineRule="exact"/>
              <w:ind w:left="-100"/>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压力传感器长时间未经校准，压力传感器测量偏差、</w:t>
            </w:r>
          </w:p>
          <w:p>
            <w:pPr>
              <w:widowControl w:val="0"/>
              <w:spacing w:line="440" w:lineRule="exact"/>
              <w:ind w:left="-100"/>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压力传感器超出使用寿命（公用血压计），传感器测量偏差</w:t>
            </w:r>
          </w:p>
        </w:tc>
        <w:tc>
          <w:tcPr>
            <w:tcW w:w="2464" w:type="dxa"/>
            <w:vAlign w:val="center"/>
          </w:tcPr>
          <w:p>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依据过高读数服用药物，导致药物剂量过量</w:t>
            </w:r>
          </w:p>
        </w:tc>
        <w:tc>
          <w:tcPr>
            <w:tcW w:w="2226" w:type="dxa"/>
            <w:vAlign w:val="center"/>
          </w:tcPr>
          <w:p>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低血压、严重时可能危及生命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1545" w:type="dxa"/>
            <w:vMerge w:val="continue"/>
            <w:vAlign w:val="center"/>
          </w:tcPr>
          <w:p>
            <w:pPr>
              <w:widowControl w:val="0"/>
              <w:spacing w:line="440" w:lineRule="exact"/>
              <w:jc w:val="both"/>
              <w:rPr>
                <w:rFonts w:ascii="Times New Roman" w:hAnsi="Times New Roman" w:eastAsia="仿宋_GB2312" w:cs="Times New Roman"/>
                <w:sz w:val="28"/>
                <w:szCs w:val="28"/>
              </w:rPr>
            </w:pPr>
          </w:p>
        </w:tc>
        <w:tc>
          <w:tcPr>
            <w:tcW w:w="2693" w:type="dxa"/>
            <w:vMerge w:val="continue"/>
            <w:vAlign w:val="center"/>
          </w:tcPr>
          <w:p>
            <w:pPr>
              <w:widowControl w:val="0"/>
              <w:spacing w:line="440" w:lineRule="exact"/>
              <w:ind w:left="-100"/>
              <w:jc w:val="both"/>
              <w:rPr>
                <w:rFonts w:ascii="Times New Roman" w:hAnsi="Times New Roman" w:eastAsia="仿宋_GB2312" w:cs="Times New Roman"/>
                <w:sz w:val="28"/>
                <w:szCs w:val="28"/>
              </w:rPr>
            </w:pPr>
          </w:p>
        </w:tc>
        <w:tc>
          <w:tcPr>
            <w:tcW w:w="2464" w:type="dxa"/>
            <w:vAlign w:val="center"/>
          </w:tcPr>
          <w:p>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依据过低读数减少药物剂量</w:t>
            </w:r>
          </w:p>
        </w:tc>
        <w:tc>
          <w:tcPr>
            <w:tcW w:w="2226" w:type="dxa"/>
            <w:vAlign w:val="center"/>
          </w:tcPr>
          <w:p>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高血压未经控制，严重时引起中风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5" w:type="dxa"/>
            <w:vAlign w:val="center"/>
          </w:tcPr>
          <w:p>
            <w:pPr>
              <w:widowControl w:val="0"/>
              <w:spacing w:line="440" w:lineRule="exact"/>
              <w:jc w:val="both"/>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rPr>
              <w:t>生物</w:t>
            </w:r>
            <w:r>
              <w:rPr>
                <w:rFonts w:hint="eastAsia" w:eastAsia="仿宋_GB2312" w:cs="Times New Roman"/>
                <w:sz w:val="28"/>
                <w:szCs w:val="28"/>
                <w:lang w:eastAsia="zh-CN"/>
              </w:rPr>
              <w:t>（</w:t>
            </w:r>
            <w:r>
              <w:rPr>
                <w:rFonts w:hint="eastAsia" w:eastAsia="仿宋_GB2312" w:cs="Times New Roman"/>
                <w:sz w:val="28"/>
                <w:szCs w:val="28"/>
                <w:lang w:val="en-US" w:eastAsia="zh-CN"/>
              </w:rPr>
              <w:t>微生物污染</w:t>
            </w:r>
            <w:r>
              <w:rPr>
                <w:rFonts w:hint="eastAsia" w:eastAsia="仿宋_GB2312" w:cs="Times New Roman"/>
                <w:sz w:val="28"/>
                <w:szCs w:val="28"/>
                <w:lang w:eastAsia="zh-CN"/>
              </w:rPr>
              <w:t>）</w:t>
            </w:r>
          </w:p>
        </w:tc>
        <w:tc>
          <w:tcPr>
            <w:tcW w:w="2693" w:type="dxa"/>
            <w:vAlign w:val="center"/>
          </w:tcPr>
          <w:p>
            <w:pPr>
              <w:widowControl w:val="0"/>
              <w:spacing w:line="440" w:lineRule="exact"/>
              <w:ind w:left="-99" w:leftChars="-47"/>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使用生物相容性不良的材质制作袖带</w:t>
            </w:r>
          </w:p>
        </w:tc>
        <w:tc>
          <w:tcPr>
            <w:tcW w:w="2464" w:type="dxa"/>
            <w:vAlign w:val="center"/>
          </w:tcPr>
          <w:p>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人体接触</w:t>
            </w:r>
          </w:p>
        </w:tc>
        <w:tc>
          <w:tcPr>
            <w:tcW w:w="2226" w:type="dxa"/>
            <w:vAlign w:val="center"/>
          </w:tcPr>
          <w:p>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皮肤过敏、刺激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5" w:type="dxa"/>
            <w:vAlign w:val="center"/>
          </w:tcPr>
          <w:p>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化学</w:t>
            </w:r>
          </w:p>
        </w:tc>
        <w:tc>
          <w:tcPr>
            <w:tcW w:w="2693" w:type="dxa"/>
            <w:vAlign w:val="center"/>
          </w:tcPr>
          <w:p>
            <w:pPr>
              <w:widowControl w:val="0"/>
              <w:spacing w:line="440" w:lineRule="exact"/>
              <w:ind w:left="-99" w:leftChars="-47"/>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长时间不使用的电池未经取出，造成电池漏液</w:t>
            </w:r>
          </w:p>
        </w:tc>
        <w:tc>
          <w:tcPr>
            <w:tcW w:w="2464" w:type="dxa"/>
            <w:vAlign w:val="center"/>
          </w:tcPr>
          <w:p>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电路腐蚀、设备故障，血压计无法工作</w:t>
            </w:r>
          </w:p>
        </w:tc>
        <w:tc>
          <w:tcPr>
            <w:tcW w:w="2226" w:type="dxa"/>
            <w:vAlign w:val="center"/>
          </w:tcPr>
          <w:p>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延误治疗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545" w:type="dxa"/>
            <w:vMerge w:val="restart"/>
            <w:vAlign w:val="center"/>
          </w:tcPr>
          <w:p>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操作错误</w:t>
            </w:r>
          </w:p>
        </w:tc>
        <w:tc>
          <w:tcPr>
            <w:tcW w:w="2693" w:type="dxa"/>
            <w:vAlign w:val="center"/>
          </w:tcPr>
          <w:p>
            <w:pPr>
              <w:widowControl w:val="0"/>
              <w:spacing w:line="440" w:lineRule="exact"/>
              <w:ind w:left="-99"/>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使用不适当尺寸的袖带，袖带未扣紧</w:t>
            </w:r>
          </w:p>
        </w:tc>
        <w:tc>
          <w:tcPr>
            <w:tcW w:w="2464" w:type="dxa"/>
            <w:vAlign w:val="center"/>
          </w:tcPr>
          <w:p>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未能对被测部位的血管完全压迫</w:t>
            </w:r>
          </w:p>
        </w:tc>
        <w:tc>
          <w:tcPr>
            <w:tcW w:w="2226" w:type="dxa"/>
            <w:vMerge w:val="restart"/>
            <w:vAlign w:val="center"/>
          </w:tcPr>
          <w:p>
            <w:pPr>
              <w:widowControl w:val="0"/>
              <w:spacing w:line="440" w:lineRule="exact"/>
              <w:jc w:val="both"/>
              <w:rPr>
                <w:rFonts w:ascii="Times New Roman" w:hAnsi="Times New Roman" w:eastAsia="仿宋_GB2312" w:cs="Times New Roman"/>
                <w:kern w:val="2"/>
                <w:sz w:val="28"/>
                <w:szCs w:val="28"/>
              </w:rPr>
            </w:pPr>
            <w:r>
              <w:rPr>
                <w:rFonts w:hint="eastAsia" w:ascii="Times New Roman" w:hAnsi="Times New Roman" w:eastAsia="仿宋_GB2312" w:cs="Times New Roman"/>
                <w:sz w:val="28"/>
                <w:szCs w:val="28"/>
              </w:rPr>
              <w:t>测量失败；测量值误差过大，见“不正确的测量”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545" w:type="dxa"/>
            <w:vMerge w:val="continue"/>
            <w:vAlign w:val="center"/>
          </w:tcPr>
          <w:p>
            <w:pPr>
              <w:widowControl w:val="0"/>
              <w:spacing w:line="440" w:lineRule="exact"/>
              <w:jc w:val="both"/>
              <w:rPr>
                <w:rFonts w:ascii="Times New Roman" w:hAnsi="Times New Roman" w:eastAsia="仿宋_GB2312" w:cs="Times New Roman"/>
                <w:sz w:val="28"/>
                <w:szCs w:val="28"/>
              </w:rPr>
            </w:pPr>
          </w:p>
        </w:tc>
        <w:tc>
          <w:tcPr>
            <w:tcW w:w="2693" w:type="dxa"/>
            <w:vAlign w:val="center"/>
          </w:tcPr>
          <w:p>
            <w:pPr>
              <w:widowControl w:val="0"/>
              <w:spacing w:line="440" w:lineRule="exact"/>
              <w:ind w:left="-99"/>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测量部位与心脏高度不一致，</w:t>
            </w:r>
          </w:p>
          <w:p>
            <w:pPr>
              <w:widowControl w:val="0"/>
              <w:spacing w:line="440" w:lineRule="exact"/>
              <w:ind w:left="-99"/>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被测者姿势不良</w:t>
            </w:r>
          </w:p>
        </w:tc>
        <w:tc>
          <w:tcPr>
            <w:tcW w:w="2464" w:type="dxa"/>
            <w:vAlign w:val="center"/>
          </w:tcPr>
          <w:p>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测量部位与心脏压力存在压差</w:t>
            </w:r>
          </w:p>
        </w:tc>
        <w:tc>
          <w:tcPr>
            <w:tcW w:w="2226" w:type="dxa"/>
            <w:vMerge w:val="continue"/>
            <w:vAlign w:val="center"/>
          </w:tcPr>
          <w:p>
            <w:pPr>
              <w:widowControl w:val="0"/>
              <w:spacing w:line="440" w:lineRule="exact"/>
              <w:jc w:val="both"/>
              <w:rPr>
                <w:rFonts w:ascii="Times New Roman" w:hAnsi="Times New Roman"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545" w:type="dxa"/>
            <w:vMerge w:val="continue"/>
            <w:vAlign w:val="center"/>
          </w:tcPr>
          <w:p>
            <w:pPr>
              <w:widowControl w:val="0"/>
              <w:spacing w:line="440" w:lineRule="exact"/>
              <w:jc w:val="both"/>
              <w:rPr>
                <w:rFonts w:ascii="Times New Roman" w:hAnsi="Times New Roman" w:eastAsia="仿宋_GB2312" w:cs="Times New Roman"/>
                <w:sz w:val="28"/>
                <w:szCs w:val="28"/>
              </w:rPr>
            </w:pPr>
          </w:p>
        </w:tc>
        <w:tc>
          <w:tcPr>
            <w:tcW w:w="2693" w:type="dxa"/>
            <w:vAlign w:val="center"/>
          </w:tcPr>
          <w:p>
            <w:pPr>
              <w:widowControl w:val="0"/>
              <w:spacing w:line="440" w:lineRule="exact"/>
              <w:ind w:left="-99"/>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测量时被测者活动，说话</w:t>
            </w:r>
          </w:p>
        </w:tc>
        <w:tc>
          <w:tcPr>
            <w:tcW w:w="2464" w:type="dxa"/>
            <w:vAlign w:val="center"/>
          </w:tcPr>
          <w:p>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压力信号中混杂噪声</w:t>
            </w:r>
          </w:p>
        </w:tc>
        <w:tc>
          <w:tcPr>
            <w:tcW w:w="2226" w:type="dxa"/>
            <w:vMerge w:val="continue"/>
            <w:vAlign w:val="center"/>
          </w:tcPr>
          <w:p>
            <w:pPr>
              <w:widowControl w:val="0"/>
              <w:spacing w:line="440" w:lineRule="exact"/>
              <w:jc w:val="both"/>
              <w:rPr>
                <w:rFonts w:ascii="Times New Roman" w:hAnsi="Times New Roman"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545" w:type="dxa"/>
            <w:vMerge w:val="continue"/>
            <w:vAlign w:val="center"/>
          </w:tcPr>
          <w:p>
            <w:pPr>
              <w:widowControl w:val="0"/>
              <w:spacing w:line="440" w:lineRule="exact"/>
              <w:jc w:val="both"/>
              <w:rPr>
                <w:rFonts w:ascii="Times New Roman" w:hAnsi="Times New Roman" w:eastAsia="仿宋_GB2312" w:cs="Times New Roman"/>
                <w:sz w:val="28"/>
                <w:szCs w:val="28"/>
              </w:rPr>
            </w:pPr>
          </w:p>
        </w:tc>
        <w:tc>
          <w:tcPr>
            <w:tcW w:w="2693" w:type="dxa"/>
            <w:vAlign w:val="center"/>
          </w:tcPr>
          <w:p>
            <w:pPr>
              <w:widowControl w:val="0"/>
              <w:spacing w:line="440" w:lineRule="exact"/>
              <w:ind w:left="-99"/>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在血压计规定的温度范围外测量</w:t>
            </w:r>
          </w:p>
        </w:tc>
        <w:tc>
          <w:tcPr>
            <w:tcW w:w="2464" w:type="dxa"/>
            <w:vAlign w:val="center"/>
          </w:tcPr>
          <w:p>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超出传感器温度线性范围</w:t>
            </w:r>
          </w:p>
        </w:tc>
        <w:tc>
          <w:tcPr>
            <w:tcW w:w="2226" w:type="dxa"/>
            <w:vMerge w:val="continue"/>
            <w:vAlign w:val="center"/>
          </w:tcPr>
          <w:p>
            <w:pPr>
              <w:widowControl w:val="0"/>
              <w:spacing w:line="440" w:lineRule="exact"/>
              <w:jc w:val="both"/>
              <w:rPr>
                <w:rFonts w:ascii="Times New Roman" w:hAnsi="Times New Roman"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545" w:type="dxa"/>
            <w:vMerge w:val="restart"/>
            <w:vAlign w:val="center"/>
          </w:tcPr>
          <w:p>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不完整的说明书</w:t>
            </w:r>
          </w:p>
        </w:tc>
        <w:tc>
          <w:tcPr>
            <w:tcW w:w="2693" w:type="dxa"/>
            <w:vAlign w:val="center"/>
          </w:tcPr>
          <w:p>
            <w:pPr>
              <w:widowControl w:val="0"/>
              <w:spacing w:line="440" w:lineRule="exact"/>
              <w:ind w:left="-99"/>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未对错误操作进行说明</w:t>
            </w:r>
          </w:p>
        </w:tc>
        <w:tc>
          <w:tcPr>
            <w:tcW w:w="2464" w:type="dxa"/>
            <w:vAlign w:val="center"/>
          </w:tcPr>
          <w:p>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见“操作错误”</w:t>
            </w:r>
          </w:p>
        </w:tc>
        <w:tc>
          <w:tcPr>
            <w:tcW w:w="2226" w:type="dxa"/>
            <w:vAlign w:val="center"/>
          </w:tcPr>
          <w:p>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测量失败；测量值误差过大，见“不正确的测量”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545" w:type="dxa"/>
            <w:vMerge w:val="continue"/>
            <w:vAlign w:val="center"/>
          </w:tcPr>
          <w:p>
            <w:pPr>
              <w:widowControl w:val="0"/>
              <w:spacing w:line="440" w:lineRule="exact"/>
              <w:jc w:val="both"/>
              <w:rPr>
                <w:rFonts w:ascii="Times New Roman" w:hAnsi="Times New Roman" w:eastAsia="仿宋_GB2312" w:cs="Times New Roman"/>
                <w:sz w:val="28"/>
                <w:szCs w:val="28"/>
              </w:rPr>
            </w:pPr>
          </w:p>
        </w:tc>
        <w:tc>
          <w:tcPr>
            <w:tcW w:w="2693" w:type="dxa"/>
            <w:vAlign w:val="center"/>
          </w:tcPr>
          <w:p>
            <w:pPr>
              <w:widowControl w:val="0"/>
              <w:spacing w:line="440" w:lineRule="exact"/>
              <w:ind w:left="-99"/>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不正确的消毒方法</w:t>
            </w:r>
          </w:p>
        </w:tc>
        <w:tc>
          <w:tcPr>
            <w:tcW w:w="2464" w:type="dxa"/>
            <w:vAlign w:val="center"/>
          </w:tcPr>
          <w:p>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使用有腐蚀性的清洁剂、消毒剂。产品部件腐蚀，血压计无法工作</w:t>
            </w:r>
          </w:p>
        </w:tc>
        <w:tc>
          <w:tcPr>
            <w:tcW w:w="2226" w:type="dxa"/>
            <w:vAlign w:val="center"/>
          </w:tcPr>
          <w:p>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延误治疗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545" w:type="dxa"/>
            <w:vMerge w:val="continue"/>
            <w:vAlign w:val="center"/>
          </w:tcPr>
          <w:p>
            <w:pPr>
              <w:widowControl w:val="0"/>
              <w:spacing w:line="440" w:lineRule="exact"/>
              <w:jc w:val="both"/>
              <w:rPr>
                <w:rFonts w:ascii="Times New Roman" w:hAnsi="Times New Roman" w:eastAsia="仿宋_GB2312" w:cs="Times New Roman"/>
                <w:sz w:val="28"/>
                <w:szCs w:val="28"/>
              </w:rPr>
            </w:pPr>
          </w:p>
        </w:tc>
        <w:tc>
          <w:tcPr>
            <w:tcW w:w="2693" w:type="dxa"/>
            <w:vAlign w:val="center"/>
          </w:tcPr>
          <w:p>
            <w:pPr>
              <w:widowControl w:val="0"/>
              <w:spacing w:line="440" w:lineRule="exact"/>
              <w:ind w:left="-99"/>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不正确的产品贮存条件</w:t>
            </w:r>
          </w:p>
        </w:tc>
        <w:tc>
          <w:tcPr>
            <w:tcW w:w="2464" w:type="dxa"/>
            <w:vAlign w:val="center"/>
          </w:tcPr>
          <w:p>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器件老化，部件寿命降低</w:t>
            </w:r>
          </w:p>
        </w:tc>
        <w:tc>
          <w:tcPr>
            <w:tcW w:w="2226" w:type="dxa"/>
            <w:vAlign w:val="center"/>
          </w:tcPr>
          <w:p>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产品寿命降低，导致测量值误差过大，见“不正确的测量”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545" w:type="dxa"/>
            <w:vMerge w:val="continue"/>
            <w:vAlign w:val="center"/>
          </w:tcPr>
          <w:p>
            <w:pPr>
              <w:widowControl w:val="0"/>
              <w:spacing w:line="440" w:lineRule="exact"/>
              <w:jc w:val="both"/>
              <w:rPr>
                <w:rFonts w:ascii="Times New Roman" w:hAnsi="Times New Roman" w:eastAsia="仿宋_GB2312" w:cs="Times New Roman"/>
                <w:sz w:val="28"/>
                <w:szCs w:val="28"/>
              </w:rPr>
            </w:pPr>
          </w:p>
        </w:tc>
        <w:tc>
          <w:tcPr>
            <w:tcW w:w="2693" w:type="dxa"/>
            <w:vAlign w:val="center"/>
          </w:tcPr>
          <w:p>
            <w:pPr>
              <w:widowControl w:val="0"/>
              <w:spacing w:line="440" w:lineRule="exact"/>
              <w:ind w:left="-99"/>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未规定校验周期</w:t>
            </w:r>
          </w:p>
        </w:tc>
        <w:tc>
          <w:tcPr>
            <w:tcW w:w="2464" w:type="dxa"/>
            <w:vAlign w:val="center"/>
          </w:tcPr>
          <w:p>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传感器存在偏差，未对设备进行校准</w:t>
            </w:r>
          </w:p>
        </w:tc>
        <w:tc>
          <w:tcPr>
            <w:tcW w:w="2226" w:type="dxa"/>
            <w:vAlign w:val="center"/>
          </w:tcPr>
          <w:p>
            <w:pPr>
              <w:widowControl w:val="0"/>
              <w:spacing w:line="440" w:lineRule="exact"/>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见“不正确的测量”</w:t>
            </w:r>
          </w:p>
        </w:tc>
      </w:tr>
    </w:tbl>
    <w:p>
      <w:pPr>
        <w:tabs>
          <w:tab w:val="left" w:pos="753"/>
        </w:tabs>
        <w:overflowPunct w:val="0"/>
        <w:autoSpaceDE w:val="0"/>
        <w:autoSpaceDN w:val="0"/>
        <w:spacing w:line="520" w:lineRule="exact"/>
        <w:jc w:val="left"/>
        <w:outlineLvl w:val="0"/>
        <w:rPr>
          <w:rFonts w:hint="eastAsia" w:eastAsia="黑体"/>
          <w:sz w:val="32"/>
          <w:szCs w:val="32"/>
          <w:lang w:eastAsia="zh-CN"/>
        </w:rPr>
        <w:sectPr>
          <w:footerReference r:id="rId3" w:type="default"/>
          <w:footerReference r:id="rId4" w:type="even"/>
          <w:pgSz w:w="11906" w:h="16838"/>
          <w:pgMar w:top="1440" w:right="1800" w:bottom="1440" w:left="1800" w:header="851" w:footer="992" w:gutter="0"/>
          <w:lnNumType w:countBy="0" w:restart="continuous"/>
          <w:cols w:space="720" w:num="1"/>
          <w:docGrid w:type="lines" w:linePitch="312" w:charSpace="0"/>
        </w:sectPr>
      </w:pPr>
    </w:p>
    <w:p>
      <w:pPr>
        <w:spacing w:line="520" w:lineRule="exact"/>
        <w:jc w:val="left"/>
        <w:rPr>
          <w:rFonts w:hint="eastAsia" w:eastAsia="仿宋_GB2312"/>
          <w:color w:val="000000"/>
          <w:sz w:val="32"/>
          <w:szCs w:val="32"/>
        </w:rPr>
      </w:pPr>
    </w:p>
    <w:sectPr>
      <w:pgSz w:w="11906" w:h="16838"/>
      <w:pgMar w:top="1440" w:right="1800" w:bottom="1440" w:left="1800" w:header="851" w:footer="992" w:gutter="0"/>
      <w:lnNumType w:countBy="0" w:restart="continuou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onsolas">
    <w:panose1 w:val="020B0609020204030204"/>
    <w:charset w:val="00"/>
    <w:family w:val="modern"/>
    <w:pitch w:val="default"/>
    <w:sig w:usb0="E00006FF" w:usb1="0000FCFF" w:usb2="00000001" w:usb3="00000000" w:csb0="6000019F" w:csb1="DFD70000"/>
  </w:font>
  <w:font w:name="Arial Unicode MS">
    <w:altName w:val="Arial"/>
    <w:panose1 w:val="020B0604020202020204"/>
    <w:charset w:val="00"/>
    <w:family w:val="roman"/>
    <w:pitch w:val="default"/>
    <w:sig w:usb0="00000000" w:usb1="00000000" w:usb2="00000000" w:usb3="00000000" w:csb0="00000001" w:csb1="00000000"/>
  </w:font>
  <w:font w:name="ArnoPro-Regular">
    <w:altName w:val="Times New Roman"/>
    <w:panose1 w:val="00000000000000000000"/>
    <w:charset w:val="00"/>
    <w:family w:val="roman"/>
    <w:pitch w:val="default"/>
    <w:sig w:usb0="00000000" w:usb1="00000000" w:usb2="00000000" w:usb3="00000000" w:csb0="00040001" w:csb1="00000000"/>
  </w:font>
  <w:font w:name="ArnoPro-Italic">
    <w:altName w:val="Times New Roman"/>
    <w:panose1 w:val="00000000000000000000"/>
    <w:charset w:val="00"/>
    <w:family w:val="roman"/>
    <w:pitch w:val="default"/>
    <w:sig w:usb0="00000000" w:usb1="00000000" w:usb2="00000000" w:usb3="00000000" w:csb0="00040001"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小标宋_GBK">
    <w:altName w:val="微软雅黑"/>
    <w:panose1 w:val="00000000000000000000"/>
    <w:charset w:val="86"/>
    <w:family w:val="script"/>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562"/>
      <w:jc w:val="right"/>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lang w:val="zh-CN"/>
      </w:rPr>
      <w:t>7</w:t>
    </w:r>
    <w:r>
      <w:rPr>
        <w:sz w:val="28"/>
        <w:szCs w:val="28"/>
      </w:rPr>
      <w:fldChar w:fldCharType="end"/>
    </w:r>
    <w:r>
      <w:rPr>
        <w:sz w:val="28"/>
        <w:szCs w:val="28"/>
      </w:rPr>
      <w:t xml:space="preserve"> —</w:t>
    </w:r>
  </w:p>
  <w:p>
    <w:pPr>
      <w:pStyle w:val="12"/>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422"/>
    </w:pPr>
    <w:bookmarkStart w:id="3" w:name="OLE_LINK6"/>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lang w:val="zh-CN"/>
      </w:rPr>
      <w:t>8</w:t>
    </w:r>
    <w:r>
      <w:rPr>
        <w:sz w:val="28"/>
        <w:szCs w:val="28"/>
      </w:rPr>
      <w:fldChar w:fldCharType="end"/>
    </w:r>
    <w:r>
      <w:rPr>
        <w:sz w:val="28"/>
        <w:szCs w:val="28"/>
      </w:rPr>
      <w:t xml:space="preserve"> —</w:t>
    </w:r>
  </w:p>
  <w:bookmarkEnd w:id="3"/>
  <w:p>
    <w:pPr>
      <w:pStyle w:val="1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880286A"/>
    <w:multiLevelType w:val="singleLevel"/>
    <w:tmpl w:val="6880286A"/>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evenAndOddHeaders w:val="1"/>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3ZDQwMmNiOWFlYzZjYTcwOWJiZGQ0YTA5ODBmZGUifQ=="/>
  </w:docVars>
  <w:rsids>
    <w:rsidRoot w:val="002533D4"/>
    <w:rsid w:val="00003156"/>
    <w:rsid w:val="00003493"/>
    <w:rsid w:val="00005D32"/>
    <w:rsid w:val="0000618E"/>
    <w:rsid w:val="00006DBA"/>
    <w:rsid w:val="000073AA"/>
    <w:rsid w:val="000074A5"/>
    <w:rsid w:val="00010782"/>
    <w:rsid w:val="000110AA"/>
    <w:rsid w:val="0001394C"/>
    <w:rsid w:val="000139EF"/>
    <w:rsid w:val="00013B03"/>
    <w:rsid w:val="000144F0"/>
    <w:rsid w:val="0001535B"/>
    <w:rsid w:val="00017CB3"/>
    <w:rsid w:val="00020571"/>
    <w:rsid w:val="00020B1E"/>
    <w:rsid w:val="0002174D"/>
    <w:rsid w:val="00022043"/>
    <w:rsid w:val="000223F4"/>
    <w:rsid w:val="0002254A"/>
    <w:rsid w:val="00022A1B"/>
    <w:rsid w:val="000233F3"/>
    <w:rsid w:val="00023DCB"/>
    <w:rsid w:val="00024713"/>
    <w:rsid w:val="00026670"/>
    <w:rsid w:val="0002670D"/>
    <w:rsid w:val="00027EDA"/>
    <w:rsid w:val="00030C95"/>
    <w:rsid w:val="0003125F"/>
    <w:rsid w:val="00031BD0"/>
    <w:rsid w:val="00033BD7"/>
    <w:rsid w:val="00035B4E"/>
    <w:rsid w:val="00040DA8"/>
    <w:rsid w:val="00044235"/>
    <w:rsid w:val="000470D5"/>
    <w:rsid w:val="00047726"/>
    <w:rsid w:val="0005148A"/>
    <w:rsid w:val="00055297"/>
    <w:rsid w:val="000577CB"/>
    <w:rsid w:val="000579EB"/>
    <w:rsid w:val="0006169D"/>
    <w:rsid w:val="00062B75"/>
    <w:rsid w:val="00062FED"/>
    <w:rsid w:val="00063739"/>
    <w:rsid w:val="000650E8"/>
    <w:rsid w:val="00065B62"/>
    <w:rsid w:val="00065D4E"/>
    <w:rsid w:val="00065EBA"/>
    <w:rsid w:val="00067526"/>
    <w:rsid w:val="000676AA"/>
    <w:rsid w:val="00070374"/>
    <w:rsid w:val="00071A37"/>
    <w:rsid w:val="00071CD7"/>
    <w:rsid w:val="00073E31"/>
    <w:rsid w:val="00074890"/>
    <w:rsid w:val="00075704"/>
    <w:rsid w:val="0007690B"/>
    <w:rsid w:val="0007712E"/>
    <w:rsid w:val="000801E2"/>
    <w:rsid w:val="00081A69"/>
    <w:rsid w:val="00082288"/>
    <w:rsid w:val="00087FDA"/>
    <w:rsid w:val="00090439"/>
    <w:rsid w:val="00091C84"/>
    <w:rsid w:val="00092F19"/>
    <w:rsid w:val="00093CF6"/>
    <w:rsid w:val="00095042"/>
    <w:rsid w:val="0009523A"/>
    <w:rsid w:val="000970EA"/>
    <w:rsid w:val="000A04FC"/>
    <w:rsid w:val="000A116A"/>
    <w:rsid w:val="000A2C01"/>
    <w:rsid w:val="000A3004"/>
    <w:rsid w:val="000A32FF"/>
    <w:rsid w:val="000A7604"/>
    <w:rsid w:val="000B0595"/>
    <w:rsid w:val="000B0751"/>
    <w:rsid w:val="000B15E3"/>
    <w:rsid w:val="000B1E8D"/>
    <w:rsid w:val="000B3AB8"/>
    <w:rsid w:val="000B4405"/>
    <w:rsid w:val="000B44A0"/>
    <w:rsid w:val="000B5035"/>
    <w:rsid w:val="000B6EB1"/>
    <w:rsid w:val="000C2025"/>
    <w:rsid w:val="000C2A23"/>
    <w:rsid w:val="000C42DB"/>
    <w:rsid w:val="000C46D4"/>
    <w:rsid w:val="000C5E42"/>
    <w:rsid w:val="000C6B4C"/>
    <w:rsid w:val="000C746B"/>
    <w:rsid w:val="000D07B7"/>
    <w:rsid w:val="000D1382"/>
    <w:rsid w:val="000D2817"/>
    <w:rsid w:val="000D39D7"/>
    <w:rsid w:val="000E3175"/>
    <w:rsid w:val="000E396F"/>
    <w:rsid w:val="000E4C5B"/>
    <w:rsid w:val="000E6245"/>
    <w:rsid w:val="000F38EB"/>
    <w:rsid w:val="000F4588"/>
    <w:rsid w:val="000F4C9F"/>
    <w:rsid w:val="000F507B"/>
    <w:rsid w:val="000F730A"/>
    <w:rsid w:val="001010CC"/>
    <w:rsid w:val="0010164F"/>
    <w:rsid w:val="00101981"/>
    <w:rsid w:val="00102456"/>
    <w:rsid w:val="00103210"/>
    <w:rsid w:val="0010397B"/>
    <w:rsid w:val="00103AE3"/>
    <w:rsid w:val="0010444E"/>
    <w:rsid w:val="00104659"/>
    <w:rsid w:val="00104F8C"/>
    <w:rsid w:val="001051DB"/>
    <w:rsid w:val="0010666D"/>
    <w:rsid w:val="00107934"/>
    <w:rsid w:val="001145BD"/>
    <w:rsid w:val="00114ADB"/>
    <w:rsid w:val="001155C6"/>
    <w:rsid w:val="00115DC2"/>
    <w:rsid w:val="00116145"/>
    <w:rsid w:val="00116677"/>
    <w:rsid w:val="00120745"/>
    <w:rsid w:val="001208A0"/>
    <w:rsid w:val="00120AFE"/>
    <w:rsid w:val="00123540"/>
    <w:rsid w:val="00126E7F"/>
    <w:rsid w:val="00127F61"/>
    <w:rsid w:val="00131B46"/>
    <w:rsid w:val="0013290E"/>
    <w:rsid w:val="0013589A"/>
    <w:rsid w:val="001370B3"/>
    <w:rsid w:val="001457CD"/>
    <w:rsid w:val="00145F20"/>
    <w:rsid w:val="00146430"/>
    <w:rsid w:val="0014736E"/>
    <w:rsid w:val="00150068"/>
    <w:rsid w:val="0015016E"/>
    <w:rsid w:val="001509F0"/>
    <w:rsid w:val="00150D5B"/>
    <w:rsid w:val="00153A6C"/>
    <w:rsid w:val="00155976"/>
    <w:rsid w:val="00156EE9"/>
    <w:rsid w:val="00157D35"/>
    <w:rsid w:val="00160066"/>
    <w:rsid w:val="0016247C"/>
    <w:rsid w:val="00162739"/>
    <w:rsid w:val="00163660"/>
    <w:rsid w:val="0016389B"/>
    <w:rsid w:val="00163A12"/>
    <w:rsid w:val="00163D1F"/>
    <w:rsid w:val="001671D8"/>
    <w:rsid w:val="001672B9"/>
    <w:rsid w:val="00167452"/>
    <w:rsid w:val="00167686"/>
    <w:rsid w:val="0016772E"/>
    <w:rsid w:val="00171545"/>
    <w:rsid w:val="0017420D"/>
    <w:rsid w:val="0017439D"/>
    <w:rsid w:val="00174BBD"/>
    <w:rsid w:val="0017566C"/>
    <w:rsid w:val="00176DDC"/>
    <w:rsid w:val="00176FAD"/>
    <w:rsid w:val="0017756E"/>
    <w:rsid w:val="00177592"/>
    <w:rsid w:val="00177CB9"/>
    <w:rsid w:val="00177CD1"/>
    <w:rsid w:val="0018094D"/>
    <w:rsid w:val="00181708"/>
    <w:rsid w:val="00181869"/>
    <w:rsid w:val="00183315"/>
    <w:rsid w:val="001834CB"/>
    <w:rsid w:val="00183DE1"/>
    <w:rsid w:val="00186D76"/>
    <w:rsid w:val="00187EA0"/>
    <w:rsid w:val="00190CC2"/>
    <w:rsid w:val="00194D93"/>
    <w:rsid w:val="00195058"/>
    <w:rsid w:val="001953C7"/>
    <w:rsid w:val="00195425"/>
    <w:rsid w:val="001A18EF"/>
    <w:rsid w:val="001A1DB0"/>
    <w:rsid w:val="001A1DBC"/>
    <w:rsid w:val="001A1FAF"/>
    <w:rsid w:val="001A2D1F"/>
    <w:rsid w:val="001A30FE"/>
    <w:rsid w:val="001A3907"/>
    <w:rsid w:val="001A6630"/>
    <w:rsid w:val="001A6B82"/>
    <w:rsid w:val="001B0392"/>
    <w:rsid w:val="001B07CE"/>
    <w:rsid w:val="001B3501"/>
    <w:rsid w:val="001B3AA8"/>
    <w:rsid w:val="001B43E6"/>
    <w:rsid w:val="001B7F6C"/>
    <w:rsid w:val="001C0143"/>
    <w:rsid w:val="001C066A"/>
    <w:rsid w:val="001C083D"/>
    <w:rsid w:val="001C0EA9"/>
    <w:rsid w:val="001C19D1"/>
    <w:rsid w:val="001C3926"/>
    <w:rsid w:val="001C5713"/>
    <w:rsid w:val="001C610B"/>
    <w:rsid w:val="001D45CE"/>
    <w:rsid w:val="001D5B87"/>
    <w:rsid w:val="001D5F3C"/>
    <w:rsid w:val="001D701E"/>
    <w:rsid w:val="001D7AAF"/>
    <w:rsid w:val="001D7D5C"/>
    <w:rsid w:val="001E0851"/>
    <w:rsid w:val="001E089F"/>
    <w:rsid w:val="001E1F86"/>
    <w:rsid w:val="001E2A7A"/>
    <w:rsid w:val="001E2DA4"/>
    <w:rsid w:val="001E2F73"/>
    <w:rsid w:val="001E33F8"/>
    <w:rsid w:val="001E3C29"/>
    <w:rsid w:val="001E5DDE"/>
    <w:rsid w:val="001E74D2"/>
    <w:rsid w:val="001F09D2"/>
    <w:rsid w:val="001F1DED"/>
    <w:rsid w:val="001F3838"/>
    <w:rsid w:val="001F6A77"/>
    <w:rsid w:val="001F7039"/>
    <w:rsid w:val="002025BC"/>
    <w:rsid w:val="00202B82"/>
    <w:rsid w:val="002031E7"/>
    <w:rsid w:val="00205D8A"/>
    <w:rsid w:val="00205F25"/>
    <w:rsid w:val="00206C44"/>
    <w:rsid w:val="002128AB"/>
    <w:rsid w:val="00213DCE"/>
    <w:rsid w:val="0021417B"/>
    <w:rsid w:val="00214B47"/>
    <w:rsid w:val="00215C9D"/>
    <w:rsid w:val="00217025"/>
    <w:rsid w:val="0021713A"/>
    <w:rsid w:val="002215E1"/>
    <w:rsid w:val="00221885"/>
    <w:rsid w:val="002220FE"/>
    <w:rsid w:val="00222C17"/>
    <w:rsid w:val="00222DE9"/>
    <w:rsid w:val="00224D7F"/>
    <w:rsid w:val="00226CC0"/>
    <w:rsid w:val="00231147"/>
    <w:rsid w:val="0023226D"/>
    <w:rsid w:val="00232D5F"/>
    <w:rsid w:val="002338F7"/>
    <w:rsid w:val="00235EBA"/>
    <w:rsid w:val="0024002C"/>
    <w:rsid w:val="00240D62"/>
    <w:rsid w:val="00242231"/>
    <w:rsid w:val="002433F6"/>
    <w:rsid w:val="00243AAE"/>
    <w:rsid w:val="00245320"/>
    <w:rsid w:val="00246002"/>
    <w:rsid w:val="00246B04"/>
    <w:rsid w:val="00250D74"/>
    <w:rsid w:val="002519CB"/>
    <w:rsid w:val="0025296D"/>
    <w:rsid w:val="00252B65"/>
    <w:rsid w:val="00252DAC"/>
    <w:rsid w:val="002533D4"/>
    <w:rsid w:val="00253704"/>
    <w:rsid w:val="0025655C"/>
    <w:rsid w:val="00257FF0"/>
    <w:rsid w:val="00260055"/>
    <w:rsid w:val="0026056D"/>
    <w:rsid w:val="00261734"/>
    <w:rsid w:val="002617BE"/>
    <w:rsid w:val="00263D5B"/>
    <w:rsid w:val="00264FA9"/>
    <w:rsid w:val="00266A37"/>
    <w:rsid w:val="002703B7"/>
    <w:rsid w:val="00275050"/>
    <w:rsid w:val="0027520A"/>
    <w:rsid w:val="00275503"/>
    <w:rsid w:val="002774FB"/>
    <w:rsid w:val="002777E2"/>
    <w:rsid w:val="00277868"/>
    <w:rsid w:val="0028122C"/>
    <w:rsid w:val="0028192F"/>
    <w:rsid w:val="00283DCD"/>
    <w:rsid w:val="00283FD5"/>
    <w:rsid w:val="0028413F"/>
    <w:rsid w:val="00284B5E"/>
    <w:rsid w:val="00285154"/>
    <w:rsid w:val="002914AC"/>
    <w:rsid w:val="00294741"/>
    <w:rsid w:val="00296044"/>
    <w:rsid w:val="002A3287"/>
    <w:rsid w:val="002A45B5"/>
    <w:rsid w:val="002A5BF2"/>
    <w:rsid w:val="002A6478"/>
    <w:rsid w:val="002A721E"/>
    <w:rsid w:val="002B0A01"/>
    <w:rsid w:val="002B3A27"/>
    <w:rsid w:val="002B432A"/>
    <w:rsid w:val="002B46A5"/>
    <w:rsid w:val="002B6076"/>
    <w:rsid w:val="002B60E4"/>
    <w:rsid w:val="002C028F"/>
    <w:rsid w:val="002C10C9"/>
    <w:rsid w:val="002C5CBE"/>
    <w:rsid w:val="002C683E"/>
    <w:rsid w:val="002C6851"/>
    <w:rsid w:val="002C7363"/>
    <w:rsid w:val="002D05BF"/>
    <w:rsid w:val="002D07BF"/>
    <w:rsid w:val="002D1913"/>
    <w:rsid w:val="002D2367"/>
    <w:rsid w:val="002D42FA"/>
    <w:rsid w:val="002D55C5"/>
    <w:rsid w:val="002D7054"/>
    <w:rsid w:val="002D7AA4"/>
    <w:rsid w:val="002E5D1F"/>
    <w:rsid w:val="002F04E6"/>
    <w:rsid w:val="002F3CDC"/>
    <w:rsid w:val="002F60C7"/>
    <w:rsid w:val="002F7366"/>
    <w:rsid w:val="002F7CF7"/>
    <w:rsid w:val="00301326"/>
    <w:rsid w:val="003028D2"/>
    <w:rsid w:val="00303231"/>
    <w:rsid w:val="0030366E"/>
    <w:rsid w:val="00304F07"/>
    <w:rsid w:val="00304FA4"/>
    <w:rsid w:val="00306436"/>
    <w:rsid w:val="00306757"/>
    <w:rsid w:val="003069DD"/>
    <w:rsid w:val="00310276"/>
    <w:rsid w:val="00310741"/>
    <w:rsid w:val="00310938"/>
    <w:rsid w:val="00312D12"/>
    <w:rsid w:val="00316B61"/>
    <w:rsid w:val="0032168D"/>
    <w:rsid w:val="003219FD"/>
    <w:rsid w:val="00322945"/>
    <w:rsid w:val="00324C52"/>
    <w:rsid w:val="0032700B"/>
    <w:rsid w:val="00327431"/>
    <w:rsid w:val="00327859"/>
    <w:rsid w:val="00327DE4"/>
    <w:rsid w:val="003332B8"/>
    <w:rsid w:val="003356F5"/>
    <w:rsid w:val="003378B9"/>
    <w:rsid w:val="00340495"/>
    <w:rsid w:val="00340EA8"/>
    <w:rsid w:val="0034155E"/>
    <w:rsid w:val="003423FC"/>
    <w:rsid w:val="003435B3"/>
    <w:rsid w:val="00343B05"/>
    <w:rsid w:val="00344960"/>
    <w:rsid w:val="00345381"/>
    <w:rsid w:val="00345747"/>
    <w:rsid w:val="0034638B"/>
    <w:rsid w:val="00346A69"/>
    <w:rsid w:val="003479DB"/>
    <w:rsid w:val="003500BD"/>
    <w:rsid w:val="00350D88"/>
    <w:rsid w:val="00352C65"/>
    <w:rsid w:val="00352E69"/>
    <w:rsid w:val="0035392D"/>
    <w:rsid w:val="00353F69"/>
    <w:rsid w:val="003541F0"/>
    <w:rsid w:val="00354C8A"/>
    <w:rsid w:val="00356C22"/>
    <w:rsid w:val="00361303"/>
    <w:rsid w:val="0036181B"/>
    <w:rsid w:val="0036339B"/>
    <w:rsid w:val="0036394E"/>
    <w:rsid w:val="00364091"/>
    <w:rsid w:val="00364476"/>
    <w:rsid w:val="00364D9F"/>
    <w:rsid w:val="00364EB8"/>
    <w:rsid w:val="0036660D"/>
    <w:rsid w:val="00371649"/>
    <w:rsid w:val="00372398"/>
    <w:rsid w:val="00372F59"/>
    <w:rsid w:val="00373F69"/>
    <w:rsid w:val="0037448C"/>
    <w:rsid w:val="00374FE2"/>
    <w:rsid w:val="00375616"/>
    <w:rsid w:val="00375DCC"/>
    <w:rsid w:val="00376932"/>
    <w:rsid w:val="003803CD"/>
    <w:rsid w:val="00381719"/>
    <w:rsid w:val="00381C8B"/>
    <w:rsid w:val="003822B6"/>
    <w:rsid w:val="003833EF"/>
    <w:rsid w:val="0038409D"/>
    <w:rsid w:val="003848FF"/>
    <w:rsid w:val="00385A86"/>
    <w:rsid w:val="00386331"/>
    <w:rsid w:val="003869C3"/>
    <w:rsid w:val="00386E4F"/>
    <w:rsid w:val="003925C6"/>
    <w:rsid w:val="003926B7"/>
    <w:rsid w:val="003935B7"/>
    <w:rsid w:val="00394582"/>
    <w:rsid w:val="003953AE"/>
    <w:rsid w:val="0039587E"/>
    <w:rsid w:val="003965B3"/>
    <w:rsid w:val="003975A5"/>
    <w:rsid w:val="003A08F1"/>
    <w:rsid w:val="003A0B58"/>
    <w:rsid w:val="003A2524"/>
    <w:rsid w:val="003A37AA"/>
    <w:rsid w:val="003A4F00"/>
    <w:rsid w:val="003A5063"/>
    <w:rsid w:val="003A63EA"/>
    <w:rsid w:val="003A7B58"/>
    <w:rsid w:val="003B077E"/>
    <w:rsid w:val="003B0AD1"/>
    <w:rsid w:val="003B0E5C"/>
    <w:rsid w:val="003B222C"/>
    <w:rsid w:val="003B2775"/>
    <w:rsid w:val="003B361C"/>
    <w:rsid w:val="003B37AD"/>
    <w:rsid w:val="003B44C2"/>
    <w:rsid w:val="003B5792"/>
    <w:rsid w:val="003C1106"/>
    <w:rsid w:val="003C1333"/>
    <w:rsid w:val="003C1FAE"/>
    <w:rsid w:val="003C273B"/>
    <w:rsid w:val="003C3586"/>
    <w:rsid w:val="003C4EED"/>
    <w:rsid w:val="003C6E42"/>
    <w:rsid w:val="003C7EA9"/>
    <w:rsid w:val="003D086F"/>
    <w:rsid w:val="003D0BE0"/>
    <w:rsid w:val="003D139B"/>
    <w:rsid w:val="003D503E"/>
    <w:rsid w:val="003D7C92"/>
    <w:rsid w:val="003E0502"/>
    <w:rsid w:val="003E063B"/>
    <w:rsid w:val="003E0B20"/>
    <w:rsid w:val="003E0B38"/>
    <w:rsid w:val="003E1838"/>
    <w:rsid w:val="003E2B70"/>
    <w:rsid w:val="003E3665"/>
    <w:rsid w:val="003E3B8D"/>
    <w:rsid w:val="003E3C82"/>
    <w:rsid w:val="003E49E0"/>
    <w:rsid w:val="003E4B88"/>
    <w:rsid w:val="003E5E52"/>
    <w:rsid w:val="003E77CD"/>
    <w:rsid w:val="003E7C81"/>
    <w:rsid w:val="003F02F0"/>
    <w:rsid w:val="003F5B6A"/>
    <w:rsid w:val="003F6555"/>
    <w:rsid w:val="003F6942"/>
    <w:rsid w:val="003F6B2F"/>
    <w:rsid w:val="00400B5E"/>
    <w:rsid w:val="00403909"/>
    <w:rsid w:val="00404735"/>
    <w:rsid w:val="00405A53"/>
    <w:rsid w:val="00406D03"/>
    <w:rsid w:val="00410039"/>
    <w:rsid w:val="0041056A"/>
    <w:rsid w:val="00411223"/>
    <w:rsid w:val="00412BD3"/>
    <w:rsid w:val="00414FFE"/>
    <w:rsid w:val="004152B4"/>
    <w:rsid w:val="00415F23"/>
    <w:rsid w:val="004164BF"/>
    <w:rsid w:val="00420D75"/>
    <w:rsid w:val="004211E3"/>
    <w:rsid w:val="0042378D"/>
    <w:rsid w:val="00423F63"/>
    <w:rsid w:val="004253BE"/>
    <w:rsid w:val="00427A01"/>
    <w:rsid w:val="00427DC0"/>
    <w:rsid w:val="00427E33"/>
    <w:rsid w:val="004303F7"/>
    <w:rsid w:val="004316BD"/>
    <w:rsid w:val="00431E5A"/>
    <w:rsid w:val="00433130"/>
    <w:rsid w:val="00433806"/>
    <w:rsid w:val="0043785A"/>
    <w:rsid w:val="00437FE7"/>
    <w:rsid w:val="00440151"/>
    <w:rsid w:val="00441345"/>
    <w:rsid w:val="00441DDA"/>
    <w:rsid w:val="00446B7B"/>
    <w:rsid w:val="00446DE3"/>
    <w:rsid w:val="00450BB7"/>
    <w:rsid w:val="0045143D"/>
    <w:rsid w:val="004514CF"/>
    <w:rsid w:val="004515F7"/>
    <w:rsid w:val="00451A05"/>
    <w:rsid w:val="00453550"/>
    <w:rsid w:val="00453B46"/>
    <w:rsid w:val="00454840"/>
    <w:rsid w:val="00455339"/>
    <w:rsid w:val="00455B98"/>
    <w:rsid w:val="00455FDD"/>
    <w:rsid w:val="004560F6"/>
    <w:rsid w:val="00457267"/>
    <w:rsid w:val="0045787E"/>
    <w:rsid w:val="00460316"/>
    <w:rsid w:val="0046218F"/>
    <w:rsid w:val="00463ACA"/>
    <w:rsid w:val="00464420"/>
    <w:rsid w:val="004705E9"/>
    <w:rsid w:val="00471948"/>
    <w:rsid w:val="00472890"/>
    <w:rsid w:val="00473F75"/>
    <w:rsid w:val="0047483B"/>
    <w:rsid w:val="00474ACD"/>
    <w:rsid w:val="0048115B"/>
    <w:rsid w:val="00485F8C"/>
    <w:rsid w:val="00486B4C"/>
    <w:rsid w:val="00490A86"/>
    <w:rsid w:val="0049269C"/>
    <w:rsid w:val="0049552E"/>
    <w:rsid w:val="00496B2A"/>
    <w:rsid w:val="00497DA4"/>
    <w:rsid w:val="004A2499"/>
    <w:rsid w:val="004A30EE"/>
    <w:rsid w:val="004A4A8D"/>
    <w:rsid w:val="004A57E7"/>
    <w:rsid w:val="004A59B4"/>
    <w:rsid w:val="004A6F56"/>
    <w:rsid w:val="004B3855"/>
    <w:rsid w:val="004B3C0E"/>
    <w:rsid w:val="004B52F9"/>
    <w:rsid w:val="004B5FAA"/>
    <w:rsid w:val="004B608E"/>
    <w:rsid w:val="004B669D"/>
    <w:rsid w:val="004C034F"/>
    <w:rsid w:val="004C1396"/>
    <w:rsid w:val="004C197D"/>
    <w:rsid w:val="004C1BF6"/>
    <w:rsid w:val="004C3998"/>
    <w:rsid w:val="004C4813"/>
    <w:rsid w:val="004C4A27"/>
    <w:rsid w:val="004C5F83"/>
    <w:rsid w:val="004C7A88"/>
    <w:rsid w:val="004D0FFE"/>
    <w:rsid w:val="004D1F54"/>
    <w:rsid w:val="004D2100"/>
    <w:rsid w:val="004D3C22"/>
    <w:rsid w:val="004D502A"/>
    <w:rsid w:val="004D636D"/>
    <w:rsid w:val="004E1DF0"/>
    <w:rsid w:val="004E5770"/>
    <w:rsid w:val="004E5FF0"/>
    <w:rsid w:val="004E604E"/>
    <w:rsid w:val="004E6AA1"/>
    <w:rsid w:val="004E7E22"/>
    <w:rsid w:val="004F0897"/>
    <w:rsid w:val="004F166F"/>
    <w:rsid w:val="004F20F8"/>
    <w:rsid w:val="004F2835"/>
    <w:rsid w:val="004F4C65"/>
    <w:rsid w:val="004F4D92"/>
    <w:rsid w:val="004F582A"/>
    <w:rsid w:val="004F60B3"/>
    <w:rsid w:val="004F71DE"/>
    <w:rsid w:val="004F7EF9"/>
    <w:rsid w:val="00500B70"/>
    <w:rsid w:val="005010AA"/>
    <w:rsid w:val="005021B3"/>
    <w:rsid w:val="005024FA"/>
    <w:rsid w:val="0050259C"/>
    <w:rsid w:val="005028CD"/>
    <w:rsid w:val="005031F5"/>
    <w:rsid w:val="00505992"/>
    <w:rsid w:val="00506564"/>
    <w:rsid w:val="0050687F"/>
    <w:rsid w:val="00506D11"/>
    <w:rsid w:val="00510FB8"/>
    <w:rsid w:val="00514CB8"/>
    <w:rsid w:val="005200C2"/>
    <w:rsid w:val="005219C0"/>
    <w:rsid w:val="00521CEB"/>
    <w:rsid w:val="00521E34"/>
    <w:rsid w:val="005235C7"/>
    <w:rsid w:val="00523B2C"/>
    <w:rsid w:val="0052469F"/>
    <w:rsid w:val="0052558E"/>
    <w:rsid w:val="005262E7"/>
    <w:rsid w:val="0053092F"/>
    <w:rsid w:val="00530F55"/>
    <w:rsid w:val="00531080"/>
    <w:rsid w:val="00531AED"/>
    <w:rsid w:val="00532001"/>
    <w:rsid w:val="00532193"/>
    <w:rsid w:val="005350EF"/>
    <w:rsid w:val="005351D1"/>
    <w:rsid w:val="0053599C"/>
    <w:rsid w:val="00535E2F"/>
    <w:rsid w:val="00536BB0"/>
    <w:rsid w:val="0053709E"/>
    <w:rsid w:val="00537976"/>
    <w:rsid w:val="00540693"/>
    <w:rsid w:val="005426EE"/>
    <w:rsid w:val="00545705"/>
    <w:rsid w:val="0054571A"/>
    <w:rsid w:val="0054684B"/>
    <w:rsid w:val="00546EC2"/>
    <w:rsid w:val="00547042"/>
    <w:rsid w:val="00547B77"/>
    <w:rsid w:val="005510D8"/>
    <w:rsid w:val="00552286"/>
    <w:rsid w:val="00552FA8"/>
    <w:rsid w:val="005539C7"/>
    <w:rsid w:val="00553E97"/>
    <w:rsid w:val="005555BF"/>
    <w:rsid w:val="00555930"/>
    <w:rsid w:val="00556F63"/>
    <w:rsid w:val="0055763B"/>
    <w:rsid w:val="005576CD"/>
    <w:rsid w:val="00560199"/>
    <w:rsid w:val="00560D81"/>
    <w:rsid w:val="00561F07"/>
    <w:rsid w:val="00562314"/>
    <w:rsid w:val="005632FA"/>
    <w:rsid w:val="005638A5"/>
    <w:rsid w:val="00563946"/>
    <w:rsid w:val="00563E34"/>
    <w:rsid w:val="00564042"/>
    <w:rsid w:val="00564175"/>
    <w:rsid w:val="005660C3"/>
    <w:rsid w:val="00566A5B"/>
    <w:rsid w:val="005675C7"/>
    <w:rsid w:val="00572003"/>
    <w:rsid w:val="00572151"/>
    <w:rsid w:val="0057254F"/>
    <w:rsid w:val="005742C5"/>
    <w:rsid w:val="00574C49"/>
    <w:rsid w:val="00574E92"/>
    <w:rsid w:val="0057519D"/>
    <w:rsid w:val="00576706"/>
    <w:rsid w:val="00577A97"/>
    <w:rsid w:val="00581AB7"/>
    <w:rsid w:val="00582C24"/>
    <w:rsid w:val="00582FDF"/>
    <w:rsid w:val="00584C30"/>
    <w:rsid w:val="005852C5"/>
    <w:rsid w:val="00585CEC"/>
    <w:rsid w:val="0058662B"/>
    <w:rsid w:val="005869F0"/>
    <w:rsid w:val="00586D3B"/>
    <w:rsid w:val="00587CBC"/>
    <w:rsid w:val="00587CC3"/>
    <w:rsid w:val="00587E36"/>
    <w:rsid w:val="00594BD6"/>
    <w:rsid w:val="0059759D"/>
    <w:rsid w:val="005A021C"/>
    <w:rsid w:val="005A02AB"/>
    <w:rsid w:val="005A1665"/>
    <w:rsid w:val="005A27C4"/>
    <w:rsid w:val="005A410D"/>
    <w:rsid w:val="005A49B0"/>
    <w:rsid w:val="005A5099"/>
    <w:rsid w:val="005A6A02"/>
    <w:rsid w:val="005A7776"/>
    <w:rsid w:val="005B1652"/>
    <w:rsid w:val="005B1B07"/>
    <w:rsid w:val="005B4DF6"/>
    <w:rsid w:val="005B7145"/>
    <w:rsid w:val="005B7DE4"/>
    <w:rsid w:val="005C0BD3"/>
    <w:rsid w:val="005C0ED1"/>
    <w:rsid w:val="005C150C"/>
    <w:rsid w:val="005C1B87"/>
    <w:rsid w:val="005C1BFB"/>
    <w:rsid w:val="005C1D32"/>
    <w:rsid w:val="005C2BB7"/>
    <w:rsid w:val="005C3273"/>
    <w:rsid w:val="005C4B0A"/>
    <w:rsid w:val="005C51FC"/>
    <w:rsid w:val="005C5442"/>
    <w:rsid w:val="005C563C"/>
    <w:rsid w:val="005C692E"/>
    <w:rsid w:val="005C6AD0"/>
    <w:rsid w:val="005D0421"/>
    <w:rsid w:val="005D1C49"/>
    <w:rsid w:val="005D2D58"/>
    <w:rsid w:val="005D3BDC"/>
    <w:rsid w:val="005D40E3"/>
    <w:rsid w:val="005D71B3"/>
    <w:rsid w:val="005D7722"/>
    <w:rsid w:val="005D7828"/>
    <w:rsid w:val="005D7A7B"/>
    <w:rsid w:val="005E238F"/>
    <w:rsid w:val="005E3A33"/>
    <w:rsid w:val="005E598E"/>
    <w:rsid w:val="005E6227"/>
    <w:rsid w:val="005E71B7"/>
    <w:rsid w:val="005F3DC1"/>
    <w:rsid w:val="005F44BD"/>
    <w:rsid w:val="005F4667"/>
    <w:rsid w:val="005F7BCC"/>
    <w:rsid w:val="0060059F"/>
    <w:rsid w:val="00600B43"/>
    <w:rsid w:val="006012A9"/>
    <w:rsid w:val="00602AED"/>
    <w:rsid w:val="006037B0"/>
    <w:rsid w:val="0060408F"/>
    <w:rsid w:val="0060536E"/>
    <w:rsid w:val="00607359"/>
    <w:rsid w:val="006078DD"/>
    <w:rsid w:val="00613725"/>
    <w:rsid w:val="00615D25"/>
    <w:rsid w:val="00620CEE"/>
    <w:rsid w:val="00621758"/>
    <w:rsid w:val="00621EC6"/>
    <w:rsid w:val="006239BA"/>
    <w:rsid w:val="00623D51"/>
    <w:rsid w:val="00623EBA"/>
    <w:rsid w:val="00624D92"/>
    <w:rsid w:val="0062539A"/>
    <w:rsid w:val="006254DA"/>
    <w:rsid w:val="006268FB"/>
    <w:rsid w:val="00627310"/>
    <w:rsid w:val="00627606"/>
    <w:rsid w:val="00631010"/>
    <w:rsid w:val="00633135"/>
    <w:rsid w:val="00633D8D"/>
    <w:rsid w:val="00633E6D"/>
    <w:rsid w:val="006340BD"/>
    <w:rsid w:val="006349A0"/>
    <w:rsid w:val="00634CF6"/>
    <w:rsid w:val="00635B7E"/>
    <w:rsid w:val="00636329"/>
    <w:rsid w:val="00636B72"/>
    <w:rsid w:val="00637986"/>
    <w:rsid w:val="00641D83"/>
    <w:rsid w:val="00643AB4"/>
    <w:rsid w:val="00650790"/>
    <w:rsid w:val="00650BE4"/>
    <w:rsid w:val="00650D24"/>
    <w:rsid w:val="00652E20"/>
    <w:rsid w:val="006557CC"/>
    <w:rsid w:val="00655A5A"/>
    <w:rsid w:val="0065655F"/>
    <w:rsid w:val="006600AA"/>
    <w:rsid w:val="00666E23"/>
    <w:rsid w:val="006702FC"/>
    <w:rsid w:val="00670733"/>
    <w:rsid w:val="00670E24"/>
    <w:rsid w:val="00671186"/>
    <w:rsid w:val="006714B7"/>
    <w:rsid w:val="0067270A"/>
    <w:rsid w:val="006733C9"/>
    <w:rsid w:val="00673505"/>
    <w:rsid w:val="00673F2A"/>
    <w:rsid w:val="006748AC"/>
    <w:rsid w:val="006769DE"/>
    <w:rsid w:val="00677E7C"/>
    <w:rsid w:val="00680AB2"/>
    <w:rsid w:val="00680C42"/>
    <w:rsid w:val="00681546"/>
    <w:rsid w:val="006815E1"/>
    <w:rsid w:val="00681D77"/>
    <w:rsid w:val="0068246D"/>
    <w:rsid w:val="00682FB7"/>
    <w:rsid w:val="0068341F"/>
    <w:rsid w:val="006868BE"/>
    <w:rsid w:val="00687540"/>
    <w:rsid w:val="00692531"/>
    <w:rsid w:val="00695177"/>
    <w:rsid w:val="0069633C"/>
    <w:rsid w:val="00696C84"/>
    <w:rsid w:val="006973A0"/>
    <w:rsid w:val="006A0C00"/>
    <w:rsid w:val="006A1BAF"/>
    <w:rsid w:val="006A2D61"/>
    <w:rsid w:val="006A30E5"/>
    <w:rsid w:val="006A3CF5"/>
    <w:rsid w:val="006A441D"/>
    <w:rsid w:val="006A4864"/>
    <w:rsid w:val="006B4B61"/>
    <w:rsid w:val="006B5C00"/>
    <w:rsid w:val="006B7BBB"/>
    <w:rsid w:val="006B7EB1"/>
    <w:rsid w:val="006B7F2D"/>
    <w:rsid w:val="006C0F8D"/>
    <w:rsid w:val="006C242B"/>
    <w:rsid w:val="006C4F4D"/>
    <w:rsid w:val="006C5389"/>
    <w:rsid w:val="006C58E2"/>
    <w:rsid w:val="006C599E"/>
    <w:rsid w:val="006C6621"/>
    <w:rsid w:val="006D0C70"/>
    <w:rsid w:val="006D22B9"/>
    <w:rsid w:val="006D2F07"/>
    <w:rsid w:val="006D4FFB"/>
    <w:rsid w:val="006D547D"/>
    <w:rsid w:val="006D6CC6"/>
    <w:rsid w:val="006D7109"/>
    <w:rsid w:val="006D77D2"/>
    <w:rsid w:val="006E129D"/>
    <w:rsid w:val="006E226B"/>
    <w:rsid w:val="006E256D"/>
    <w:rsid w:val="006E2922"/>
    <w:rsid w:val="006E2998"/>
    <w:rsid w:val="006E3587"/>
    <w:rsid w:val="006E4924"/>
    <w:rsid w:val="006E51D9"/>
    <w:rsid w:val="006E6DBB"/>
    <w:rsid w:val="006F15E5"/>
    <w:rsid w:val="006F2588"/>
    <w:rsid w:val="006F358A"/>
    <w:rsid w:val="006F4AAB"/>
    <w:rsid w:val="006F4C26"/>
    <w:rsid w:val="006F634B"/>
    <w:rsid w:val="00701008"/>
    <w:rsid w:val="0070125A"/>
    <w:rsid w:val="00702007"/>
    <w:rsid w:val="0070578D"/>
    <w:rsid w:val="00706405"/>
    <w:rsid w:val="00707908"/>
    <w:rsid w:val="007101E5"/>
    <w:rsid w:val="0071124E"/>
    <w:rsid w:val="007122DA"/>
    <w:rsid w:val="00712F35"/>
    <w:rsid w:val="007143CD"/>
    <w:rsid w:val="00720241"/>
    <w:rsid w:val="0072184E"/>
    <w:rsid w:val="00721E22"/>
    <w:rsid w:val="007311E0"/>
    <w:rsid w:val="00732729"/>
    <w:rsid w:val="00732FD7"/>
    <w:rsid w:val="00734015"/>
    <w:rsid w:val="007341A8"/>
    <w:rsid w:val="00735091"/>
    <w:rsid w:val="00736440"/>
    <w:rsid w:val="007365C2"/>
    <w:rsid w:val="00736B05"/>
    <w:rsid w:val="0073716D"/>
    <w:rsid w:val="00740389"/>
    <w:rsid w:val="00740C08"/>
    <w:rsid w:val="007507A4"/>
    <w:rsid w:val="00752CF7"/>
    <w:rsid w:val="007536D1"/>
    <w:rsid w:val="00753B4A"/>
    <w:rsid w:val="00753CCF"/>
    <w:rsid w:val="00753E3E"/>
    <w:rsid w:val="00754B24"/>
    <w:rsid w:val="007570DF"/>
    <w:rsid w:val="00761119"/>
    <w:rsid w:val="007616C9"/>
    <w:rsid w:val="0076174A"/>
    <w:rsid w:val="007629B4"/>
    <w:rsid w:val="00763991"/>
    <w:rsid w:val="007648A2"/>
    <w:rsid w:val="007674A7"/>
    <w:rsid w:val="0077087C"/>
    <w:rsid w:val="007751A1"/>
    <w:rsid w:val="00775F79"/>
    <w:rsid w:val="00776FDC"/>
    <w:rsid w:val="0078053D"/>
    <w:rsid w:val="007811BF"/>
    <w:rsid w:val="007820BB"/>
    <w:rsid w:val="0078293F"/>
    <w:rsid w:val="00783DCD"/>
    <w:rsid w:val="00783F7B"/>
    <w:rsid w:val="007849B5"/>
    <w:rsid w:val="0078675C"/>
    <w:rsid w:val="00790927"/>
    <w:rsid w:val="00790DC7"/>
    <w:rsid w:val="00790EB6"/>
    <w:rsid w:val="007910A0"/>
    <w:rsid w:val="00791E02"/>
    <w:rsid w:val="007924E2"/>
    <w:rsid w:val="00793921"/>
    <w:rsid w:val="00793EBF"/>
    <w:rsid w:val="00794A42"/>
    <w:rsid w:val="00794DB7"/>
    <w:rsid w:val="007958A4"/>
    <w:rsid w:val="00797BE6"/>
    <w:rsid w:val="007A06E7"/>
    <w:rsid w:val="007A3586"/>
    <w:rsid w:val="007A3622"/>
    <w:rsid w:val="007A3A84"/>
    <w:rsid w:val="007A545B"/>
    <w:rsid w:val="007A5A9E"/>
    <w:rsid w:val="007B10D5"/>
    <w:rsid w:val="007B1C37"/>
    <w:rsid w:val="007B204D"/>
    <w:rsid w:val="007B2262"/>
    <w:rsid w:val="007B4A4F"/>
    <w:rsid w:val="007B53FE"/>
    <w:rsid w:val="007B5FF0"/>
    <w:rsid w:val="007B6BD9"/>
    <w:rsid w:val="007C4ECF"/>
    <w:rsid w:val="007C5FC4"/>
    <w:rsid w:val="007C6DDE"/>
    <w:rsid w:val="007D1170"/>
    <w:rsid w:val="007D1BB9"/>
    <w:rsid w:val="007D2C2F"/>
    <w:rsid w:val="007D4321"/>
    <w:rsid w:val="007D600B"/>
    <w:rsid w:val="007E0E06"/>
    <w:rsid w:val="007E3714"/>
    <w:rsid w:val="007E4D89"/>
    <w:rsid w:val="007E607A"/>
    <w:rsid w:val="007E60A2"/>
    <w:rsid w:val="007E77BA"/>
    <w:rsid w:val="007E7ECC"/>
    <w:rsid w:val="007F06F2"/>
    <w:rsid w:val="007F080D"/>
    <w:rsid w:val="007F211F"/>
    <w:rsid w:val="007F2F50"/>
    <w:rsid w:val="007F3A04"/>
    <w:rsid w:val="007F4D3F"/>
    <w:rsid w:val="007F4DE2"/>
    <w:rsid w:val="007F5D28"/>
    <w:rsid w:val="007F63CF"/>
    <w:rsid w:val="007F6DC4"/>
    <w:rsid w:val="00800419"/>
    <w:rsid w:val="0080048D"/>
    <w:rsid w:val="00800E21"/>
    <w:rsid w:val="0080275D"/>
    <w:rsid w:val="008032F2"/>
    <w:rsid w:val="008057C6"/>
    <w:rsid w:val="00805869"/>
    <w:rsid w:val="00805ED5"/>
    <w:rsid w:val="0080733E"/>
    <w:rsid w:val="0081005D"/>
    <w:rsid w:val="00810EAA"/>
    <w:rsid w:val="00811D80"/>
    <w:rsid w:val="0081203A"/>
    <w:rsid w:val="0081433E"/>
    <w:rsid w:val="0081478F"/>
    <w:rsid w:val="00814DA0"/>
    <w:rsid w:val="008153B4"/>
    <w:rsid w:val="00816A8C"/>
    <w:rsid w:val="00816F5C"/>
    <w:rsid w:val="00820134"/>
    <w:rsid w:val="0082063F"/>
    <w:rsid w:val="00821F9E"/>
    <w:rsid w:val="008233A9"/>
    <w:rsid w:val="00823CBC"/>
    <w:rsid w:val="00825C5D"/>
    <w:rsid w:val="00825CB0"/>
    <w:rsid w:val="00826354"/>
    <w:rsid w:val="0083001B"/>
    <w:rsid w:val="0083227F"/>
    <w:rsid w:val="00832A40"/>
    <w:rsid w:val="00832DDF"/>
    <w:rsid w:val="00834C57"/>
    <w:rsid w:val="00835A65"/>
    <w:rsid w:val="0084055A"/>
    <w:rsid w:val="00840A4D"/>
    <w:rsid w:val="00841077"/>
    <w:rsid w:val="00841D5F"/>
    <w:rsid w:val="00842DFB"/>
    <w:rsid w:val="008445EC"/>
    <w:rsid w:val="00844727"/>
    <w:rsid w:val="008456F4"/>
    <w:rsid w:val="00845CEC"/>
    <w:rsid w:val="00846048"/>
    <w:rsid w:val="008472C5"/>
    <w:rsid w:val="008478A2"/>
    <w:rsid w:val="00850206"/>
    <w:rsid w:val="00850D83"/>
    <w:rsid w:val="0085507B"/>
    <w:rsid w:val="00856F11"/>
    <w:rsid w:val="00857036"/>
    <w:rsid w:val="0085728E"/>
    <w:rsid w:val="00857BFD"/>
    <w:rsid w:val="00862771"/>
    <w:rsid w:val="0086375E"/>
    <w:rsid w:val="00864168"/>
    <w:rsid w:val="00864CAF"/>
    <w:rsid w:val="0086590D"/>
    <w:rsid w:val="00865AEE"/>
    <w:rsid w:val="00865C6F"/>
    <w:rsid w:val="0086658F"/>
    <w:rsid w:val="00866F2F"/>
    <w:rsid w:val="00867178"/>
    <w:rsid w:val="00867ECB"/>
    <w:rsid w:val="008708BE"/>
    <w:rsid w:val="0087129E"/>
    <w:rsid w:val="00872B68"/>
    <w:rsid w:val="00874F9C"/>
    <w:rsid w:val="008755D3"/>
    <w:rsid w:val="008759B3"/>
    <w:rsid w:val="008762C4"/>
    <w:rsid w:val="008772E8"/>
    <w:rsid w:val="00880A53"/>
    <w:rsid w:val="0088424A"/>
    <w:rsid w:val="0088473A"/>
    <w:rsid w:val="00884971"/>
    <w:rsid w:val="008871E4"/>
    <w:rsid w:val="00890963"/>
    <w:rsid w:val="00890D8F"/>
    <w:rsid w:val="00892C65"/>
    <w:rsid w:val="00892E8D"/>
    <w:rsid w:val="0089374C"/>
    <w:rsid w:val="00893C70"/>
    <w:rsid w:val="00894328"/>
    <w:rsid w:val="008945B5"/>
    <w:rsid w:val="00896CE1"/>
    <w:rsid w:val="008A21C5"/>
    <w:rsid w:val="008A287F"/>
    <w:rsid w:val="008A37CF"/>
    <w:rsid w:val="008A4521"/>
    <w:rsid w:val="008A560D"/>
    <w:rsid w:val="008A5DD5"/>
    <w:rsid w:val="008B0C54"/>
    <w:rsid w:val="008B210F"/>
    <w:rsid w:val="008B2E2C"/>
    <w:rsid w:val="008B533E"/>
    <w:rsid w:val="008B5AEE"/>
    <w:rsid w:val="008B63E7"/>
    <w:rsid w:val="008B65A0"/>
    <w:rsid w:val="008B6732"/>
    <w:rsid w:val="008B6C96"/>
    <w:rsid w:val="008B7545"/>
    <w:rsid w:val="008B78FB"/>
    <w:rsid w:val="008C2F3C"/>
    <w:rsid w:val="008C4C6E"/>
    <w:rsid w:val="008C5B7B"/>
    <w:rsid w:val="008C5EDA"/>
    <w:rsid w:val="008C6771"/>
    <w:rsid w:val="008C6F1F"/>
    <w:rsid w:val="008C7657"/>
    <w:rsid w:val="008D01DA"/>
    <w:rsid w:val="008D08CE"/>
    <w:rsid w:val="008D2989"/>
    <w:rsid w:val="008D3783"/>
    <w:rsid w:val="008D42C3"/>
    <w:rsid w:val="008D5155"/>
    <w:rsid w:val="008D5277"/>
    <w:rsid w:val="008D6A75"/>
    <w:rsid w:val="008D6C52"/>
    <w:rsid w:val="008D7472"/>
    <w:rsid w:val="008D7727"/>
    <w:rsid w:val="008E0076"/>
    <w:rsid w:val="008E0736"/>
    <w:rsid w:val="008E0B97"/>
    <w:rsid w:val="008E190D"/>
    <w:rsid w:val="008E4286"/>
    <w:rsid w:val="008E5A11"/>
    <w:rsid w:val="008E6FA5"/>
    <w:rsid w:val="008E73C5"/>
    <w:rsid w:val="008F0961"/>
    <w:rsid w:val="008F0C96"/>
    <w:rsid w:val="008F1644"/>
    <w:rsid w:val="008F16F3"/>
    <w:rsid w:val="008F23D7"/>
    <w:rsid w:val="008F4582"/>
    <w:rsid w:val="008F4F27"/>
    <w:rsid w:val="008F53B7"/>
    <w:rsid w:val="008F5A2C"/>
    <w:rsid w:val="008F5B9A"/>
    <w:rsid w:val="008F6545"/>
    <w:rsid w:val="008F6B8F"/>
    <w:rsid w:val="008F6CE0"/>
    <w:rsid w:val="008F74B1"/>
    <w:rsid w:val="008F786B"/>
    <w:rsid w:val="00901E71"/>
    <w:rsid w:val="00903695"/>
    <w:rsid w:val="00904168"/>
    <w:rsid w:val="00905E71"/>
    <w:rsid w:val="0091182E"/>
    <w:rsid w:val="00912343"/>
    <w:rsid w:val="009123C8"/>
    <w:rsid w:val="009132D0"/>
    <w:rsid w:val="009160AB"/>
    <w:rsid w:val="00916568"/>
    <w:rsid w:val="009171E4"/>
    <w:rsid w:val="00920331"/>
    <w:rsid w:val="00921C96"/>
    <w:rsid w:val="00921DC6"/>
    <w:rsid w:val="00924356"/>
    <w:rsid w:val="00924433"/>
    <w:rsid w:val="00932D52"/>
    <w:rsid w:val="00933257"/>
    <w:rsid w:val="00933A74"/>
    <w:rsid w:val="00933C83"/>
    <w:rsid w:val="00934778"/>
    <w:rsid w:val="00934D6D"/>
    <w:rsid w:val="00934E96"/>
    <w:rsid w:val="009405D2"/>
    <w:rsid w:val="00941E94"/>
    <w:rsid w:val="00941F9E"/>
    <w:rsid w:val="009427B4"/>
    <w:rsid w:val="00944EEF"/>
    <w:rsid w:val="009458FC"/>
    <w:rsid w:val="0094719D"/>
    <w:rsid w:val="0094736D"/>
    <w:rsid w:val="009503B4"/>
    <w:rsid w:val="00950975"/>
    <w:rsid w:val="0095237E"/>
    <w:rsid w:val="009525B9"/>
    <w:rsid w:val="00953997"/>
    <w:rsid w:val="00953B14"/>
    <w:rsid w:val="00953ED3"/>
    <w:rsid w:val="009544F0"/>
    <w:rsid w:val="00955BF9"/>
    <w:rsid w:val="00956F8E"/>
    <w:rsid w:val="00957294"/>
    <w:rsid w:val="00961448"/>
    <w:rsid w:val="00963D04"/>
    <w:rsid w:val="00964B4A"/>
    <w:rsid w:val="009655E8"/>
    <w:rsid w:val="0096575D"/>
    <w:rsid w:val="0097082F"/>
    <w:rsid w:val="00970903"/>
    <w:rsid w:val="0097155E"/>
    <w:rsid w:val="00973827"/>
    <w:rsid w:val="009749DE"/>
    <w:rsid w:val="0097560B"/>
    <w:rsid w:val="00977E7C"/>
    <w:rsid w:val="00980535"/>
    <w:rsid w:val="009812DC"/>
    <w:rsid w:val="0098141A"/>
    <w:rsid w:val="00981A34"/>
    <w:rsid w:val="00983CA3"/>
    <w:rsid w:val="009857E1"/>
    <w:rsid w:val="00986968"/>
    <w:rsid w:val="00986B66"/>
    <w:rsid w:val="0099060C"/>
    <w:rsid w:val="00990CDB"/>
    <w:rsid w:val="00991303"/>
    <w:rsid w:val="009919A9"/>
    <w:rsid w:val="00991A81"/>
    <w:rsid w:val="009921AF"/>
    <w:rsid w:val="0099228F"/>
    <w:rsid w:val="0099462A"/>
    <w:rsid w:val="00995108"/>
    <w:rsid w:val="00995890"/>
    <w:rsid w:val="0099635E"/>
    <w:rsid w:val="009A0F9F"/>
    <w:rsid w:val="009A43F6"/>
    <w:rsid w:val="009B0082"/>
    <w:rsid w:val="009B0A77"/>
    <w:rsid w:val="009B0E4C"/>
    <w:rsid w:val="009B28F1"/>
    <w:rsid w:val="009B2FFE"/>
    <w:rsid w:val="009B4629"/>
    <w:rsid w:val="009B6272"/>
    <w:rsid w:val="009C0644"/>
    <w:rsid w:val="009C07E8"/>
    <w:rsid w:val="009C0A66"/>
    <w:rsid w:val="009C14B0"/>
    <w:rsid w:val="009C30D8"/>
    <w:rsid w:val="009C36FF"/>
    <w:rsid w:val="009C3855"/>
    <w:rsid w:val="009C4021"/>
    <w:rsid w:val="009C7678"/>
    <w:rsid w:val="009C7811"/>
    <w:rsid w:val="009D0124"/>
    <w:rsid w:val="009D05BD"/>
    <w:rsid w:val="009D0EDD"/>
    <w:rsid w:val="009D1A20"/>
    <w:rsid w:val="009D3023"/>
    <w:rsid w:val="009D5925"/>
    <w:rsid w:val="009D5CD1"/>
    <w:rsid w:val="009D646C"/>
    <w:rsid w:val="009D7B92"/>
    <w:rsid w:val="009E1096"/>
    <w:rsid w:val="009E276D"/>
    <w:rsid w:val="009E29EB"/>
    <w:rsid w:val="009E4FBD"/>
    <w:rsid w:val="009E763F"/>
    <w:rsid w:val="009E7E67"/>
    <w:rsid w:val="009F134B"/>
    <w:rsid w:val="009F2D25"/>
    <w:rsid w:val="009F2D4B"/>
    <w:rsid w:val="009F3975"/>
    <w:rsid w:val="009F3C63"/>
    <w:rsid w:val="009F4C3C"/>
    <w:rsid w:val="009F5377"/>
    <w:rsid w:val="009F779D"/>
    <w:rsid w:val="00A0215A"/>
    <w:rsid w:val="00A04216"/>
    <w:rsid w:val="00A06FB6"/>
    <w:rsid w:val="00A0781D"/>
    <w:rsid w:val="00A11062"/>
    <w:rsid w:val="00A11077"/>
    <w:rsid w:val="00A11BC4"/>
    <w:rsid w:val="00A12ABE"/>
    <w:rsid w:val="00A12CEC"/>
    <w:rsid w:val="00A13F48"/>
    <w:rsid w:val="00A14B05"/>
    <w:rsid w:val="00A1549B"/>
    <w:rsid w:val="00A157DE"/>
    <w:rsid w:val="00A21B9A"/>
    <w:rsid w:val="00A231B4"/>
    <w:rsid w:val="00A25865"/>
    <w:rsid w:val="00A266D9"/>
    <w:rsid w:val="00A2672B"/>
    <w:rsid w:val="00A268A9"/>
    <w:rsid w:val="00A26A37"/>
    <w:rsid w:val="00A30741"/>
    <w:rsid w:val="00A3122D"/>
    <w:rsid w:val="00A323D0"/>
    <w:rsid w:val="00A37860"/>
    <w:rsid w:val="00A405C9"/>
    <w:rsid w:val="00A40FC0"/>
    <w:rsid w:val="00A439AB"/>
    <w:rsid w:val="00A443EC"/>
    <w:rsid w:val="00A4457B"/>
    <w:rsid w:val="00A46AA0"/>
    <w:rsid w:val="00A479C1"/>
    <w:rsid w:val="00A501BF"/>
    <w:rsid w:val="00A52B1F"/>
    <w:rsid w:val="00A53ED2"/>
    <w:rsid w:val="00A5448B"/>
    <w:rsid w:val="00A547EF"/>
    <w:rsid w:val="00A55059"/>
    <w:rsid w:val="00A5546D"/>
    <w:rsid w:val="00A56572"/>
    <w:rsid w:val="00A56C64"/>
    <w:rsid w:val="00A60089"/>
    <w:rsid w:val="00A60C82"/>
    <w:rsid w:val="00A6133E"/>
    <w:rsid w:val="00A63914"/>
    <w:rsid w:val="00A64057"/>
    <w:rsid w:val="00A66F98"/>
    <w:rsid w:val="00A672F3"/>
    <w:rsid w:val="00A7070B"/>
    <w:rsid w:val="00A70C41"/>
    <w:rsid w:val="00A71AA8"/>
    <w:rsid w:val="00A726C9"/>
    <w:rsid w:val="00A741D5"/>
    <w:rsid w:val="00A768D9"/>
    <w:rsid w:val="00A76B30"/>
    <w:rsid w:val="00A7727E"/>
    <w:rsid w:val="00A80BFB"/>
    <w:rsid w:val="00A80F4A"/>
    <w:rsid w:val="00A81FAF"/>
    <w:rsid w:val="00A84EB7"/>
    <w:rsid w:val="00A850AF"/>
    <w:rsid w:val="00A86031"/>
    <w:rsid w:val="00A92816"/>
    <w:rsid w:val="00A92C05"/>
    <w:rsid w:val="00A93708"/>
    <w:rsid w:val="00A9476F"/>
    <w:rsid w:val="00A94D5C"/>
    <w:rsid w:val="00A97B4B"/>
    <w:rsid w:val="00AA2D63"/>
    <w:rsid w:val="00AA467E"/>
    <w:rsid w:val="00AA4910"/>
    <w:rsid w:val="00AA499F"/>
    <w:rsid w:val="00AA5AB6"/>
    <w:rsid w:val="00AA6342"/>
    <w:rsid w:val="00AA7085"/>
    <w:rsid w:val="00AA7E77"/>
    <w:rsid w:val="00AB01E9"/>
    <w:rsid w:val="00AB0428"/>
    <w:rsid w:val="00AB09B4"/>
    <w:rsid w:val="00AB0E1B"/>
    <w:rsid w:val="00AB23C9"/>
    <w:rsid w:val="00AB2FF2"/>
    <w:rsid w:val="00AB6212"/>
    <w:rsid w:val="00AB6E7E"/>
    <w:rsid w:val="00AC0269"/>
    <w:rsid w:val="00AC0DB6"/>
    <w:rsid w:val="00AC1163"/>
    <w:rsid w:val="00AC1514"/>
    <w:rsid w:val="00AC16DB"/>
    <w:rsid w:val="00AC2858"/>
    <w:rsid w:val="00AC35B6"/>
    <w:rsid w:val="00AC42C6"/>
    <w:rsid w:val="00AC5B8D"/>
    <w:rsid w:val="00AC5CE9"/>
    <w:rsid w:val="00AC66EE"/>
    <w:rsid w:val="00AC6EEC"/>
    <w:rsid w:val="00AC7D00"/>
    <w:rsid w:val="00AD0A40"/>
    <w:rsid w:val="00AD1B5E"/>
    <w:rsid w:val="00AD1CFF"/>
    <w:rsid w:val="00AD211E"/>
    <w:rsid w:val="00AD228E"/>
    <w:rsid w:val="00AD25CF"/>
    <w:rsid w:val="00AD3DF3"/>
    <w:rsid w:val="00AD4573"/>
    <w:rsid w:val="00AD60C2"/>
    <w:rsid w:val="00AD75AE"/>
    <w:rsid w:val="00AE072D"/>
    <w:rsid w:val="00AE0E63"/>
    <w:rsid w:val="00AE1322"/>
    <w:rsid w:val="00AE2330"/>
    <w:rsid w:val="00AE26D7"/>
    <w:rsid w:val="00AE6743"/>
    <w:rsid w:val="00AE6AE7"/>
    <w:rsid w:val="00AE6D25"/>
    <w:rsid w:val="00AF0A17"/>
    <w:rsid w:val="00AF1038"/>
    <w:rsid w:val="00AF1571"/>
    <w:rsid w:val="00AF17F7"/>
    <w:rsid w:val="00AF251C"/>
    <w:rsid w:val="00AF3A3E"/>
    <w:rsid w:val="00AF3A4A"/>
    <w:rsid w:val="00AF4CA4"/>
    <w:rsid w:val="00AF52E8"/>
    <w:rsid w:val="00B00CD5"/>
    <w:rsid w:val="00B00DA3"/>
    <w:rsid w:val="00B012D0"/>
    <w:rsid w:val="00B035FE"/>
    <w:rsid w:val="00B0453D"/>
    <w:rsid w:val="00B04B84"/>
    <w:rsid w:val="00B04C4E"/>
    <w:rsid w:val="00B05271"/>
    <w:rsid w:val="00B05F80"/>
    <w:rsid w:val="00B06E21"/>
    <w:rsid w:val="00B06F73"/>
    <w:rsid w:val="00B07A9B"/>
    <w:rsid w:val="00B106CE"/>
    <w:rsid w:val="00B114BE"/>
    <w:rsid w:val="00B11AFE"/>
    <w:rsid w:val="00B1342C"/>
    <w:rsid w:val="00B141BE"/>
    <w:rsid w:val="00B15164"/>
    <w:rsid w:val="00B16551"/>
    <w:rsid w:val="00B165D7"/>
    <w:rsid w:val="00B20306"/>
    <w:rsid w:val="00B233E7"/>
    <w:rsid w:val="00B247CB"/>
    <w:rsid w:val="00B254C3"/>
    <w:rsid w:val="00B25512"/>
    <w:rsid w:val="00B25A9A"/>
    <w:rsid w:val="00B312EF"/>
    <w:rsid w:val="00B325C3"/>
    <w:rsid w:val="00B3269A"/>
    <w:rsid w:val="00B32793"/>
    <w:rsid w:val="00B33355"/>
    <w:rsid w:val="00B33FE6"/>
    <w:rsid w:val="00B3467E"/>
    <w:rsid w:val="00B34E49"/>
    <w:rsid w:val="00B367D9"/>
    <w:rsid w:val="00B373FE"/>
    <w:rsid w:val="00B40161"/>
    <w:rsid w:val="00B43BDE"/>
    <w:rsid w:val="00B457B2"/>
    <w:rsid w:val="00B469B3"/>
    <w:rsid w:val="00B50B25"/>
    <w:rsid w:val="00B5147D"/>
    <w:rsid w:val="00B51BBA"/>
    <w:rsid w:val="00B53857"/>
    <w:rsid w:val="00B551C3"/>
    <w:rsid w:val="00B5543A"/>
    <w:rsid w:val="00B55E4B"/>
    <w:rsid w:val="00B56667"/>
    <w:rsid w:val="00B56D62"/>
    <w:rsid w:val="00B62C57"/>
    <w:rsid w:val="00B64E86"/>
    <w:rsid w:val="00B667B9"/>
    <w:rsid w:val="00B70D7C"/>
    <w:rsid w:val="00B70DD0"/>
    <w:rsid w:val="00B720D0"/>
    <w:rsid w:val="00B72D5B"/>
    <w:rsid w:val="00B759E8"/>
    <w:rsid w:val="00B778E6"/>
    <w:rsid w:val="00B77A56"/>
    <w:rsid w:val="00B81716"/>
    <w:rsid w:val="00B84B44"/>
    <w:rsid w:val="00B85B55"/>
    <w:rsid w:val="00B86097"/>
    <w:rsid w:val="00B87579"/>
    <w:rsid w:val="00B8777F"/>
    <w:rsid w:val="00B91E05"/>
    <w:rsid w:val="00B937B0"/>
    <w:rsid w:val="00B969EC"/>
    <w:rsid w:val="00B97185"/>
    <w:rsid w:val="00BA047C"/>
    <w:rsid w:val="00BA3084"/>
    <w:rsid w:val="00BA46D5"/>
    <w:rsid w:val="00BA539C"/>
    <w:rsid w:val="00BA75BA"/>
    <w:rsid w:val="00BB00BC"/>
    <w:rsid w:val="00BB0194"/>
    <w:rsid w:val="00BB0417"/>
    <w:rsid w:val="00BB0612"/>
    <w:rsid w:val="00BB08E9"/>
    <w:rsid w:val="00BB1596"/>
    <w:rsid w:val="00BB398D"/>
    <w:rsid w:val="00BB4ABA"/>
    <w:rsid w:val="00BB563E"/>
    <w:rsid w:val="00BB5C2F"/>
    <w:rsid w:val="00BB6821"/>
    <w:rsid w:val="00BB6A83"/>
    <w:rsid w:val="00BC10BB"/>
    <w:rsid w:val="00BC24E0"/>
    <w:rsid w:val="00BC2E4D"/>
    <w:rsid w:val="00BC3122"/>
    <w:rsid w:val="00BC31D0"/>
    <w:rsid w:val="00BC49B5"/>
    <w:rsid w:val="00BC55AB"/>
    <w:rsid w:val="00BD1974"/>
    <w:rsid w:val="00BD1DCA"/>
    <w:rsid w:val="00BD3F89"/>
    <w:rsid w:val="00BD57E1"/>
    <w:rsid w:val="00BD6093"/>
    <w:rsid w:val="00BD60EE"/>
    <w:rsid w:val="00BD77A7"/>
    <w:rsid w:val="00BD7D9E"/>
    <w:rsid w:val="00BE1147"/>
    <w:rsid w:val="00BE1627"/>
    <w:rsid w:val="00BE4054"/>
    <w:rsid w:val="00BE5AF1"/>
    <w:rsid w:val="00BE6B98"/>
    <w:rsid w:val="00BE7879"/>
    <w:rsid w:val="00BF0372"/>
    <w:rsid w:val="00BF0467"/>
    <w:rsid w:val="00BF06E7"/>
    <w:rsid w:val="00BF15E0"/>
    <w:rsid w:val="00BF257A"/>
    <w:rsid w:val="00BF2B88"/>
    <w:rsid w:val="00BF3025"/>
    <w:rsid w:val="00BF350F"/>
    <w:rsid w:val="00BF43C3"/>
    <w:rsid w:val="00BF4B23"/>
    <w:rsid w:val="00BF5B28"/>
    <w:rsid w:val="00BF6AF2"/>
    <w:rsid w:val="00BF6DDE"/>
    <w:rsid w:val="00BF6FFF"/>
    <w:rsid w:val="00BF7611"/>
    <w:rsid w:val="00BF7A48"/>
    <w:rsid w:val="00C00133"/>
    <w:rsid w:val="00C0076C"/>
    <w:rsid w:val="00C00D1B"/>
    <w:rsid w:val="00C00E87"/>
    <w:rsid w:val="00C021B1"/>
    <w:rsid w:val="00C03AF4"/>
    <w:rsid w:val="00C0555D"/>
    <w:rsid w:val="00C07FC4"/>
    <w:rsid w:val="00C110CD"/>
    <w:rsid w:val="00C12799"/>
    <w:rsid w:val="00C1578A"/>
    <w:rsid w:val="00C15992"/>
    <w:rsid w:val="00C15E2B"/>
    <w:rsid w:val="00C16308"/>
    <w:rsid w:val="00C16B27"/>
    <w:rsid w:val="00C16DD9"/>
    <w:rsid w:val="00C218BC"/>
    <w:rsid w:val="00C21A1F"/>
    <w:rsid w:val="00C227B8"/>
    <w:rsid w:val="00C23FF8"/>
    <w:rsid w:val="00C26AE2"/>
    <w:rsid w:val="00C3024E"/>
    <w:rsid w:val="00C30DC1"/>
    <w:rsid w:val="00C3197C"/>
    <w:rsid w:val="00C3212D"/>
    <w:rsid w:val="00C3296F"/>
    <w:rsid w:val="00C3351E"/>
    <w:rsid w:val="00C33AFE"/>
    <w:rsid w:val="00C37C72"/>
    <w:rsid w:val="00C40E45"/>
    <w:rsid w:val="00C419AD"/>
    <w:rsid w:val="00C41EC6"/>
    <w:rsid w:val="00C42EE1"/>
    <w:rsid w:val="00C45406"/>
    <w:rsid w:val="00C45D83"/>
    <w:rsid w:val="00C46FB2"/>
    <w:rsid w:val="00C47456"/>
    <w:rsid w:val="00C50666"/>
    <w:rsid w:val="00C52B93"/>
    <w:rsid w:val="00C534BB"/>
    <w:rsid w:val="00C553F1"/>
    <w:rsid w:val="00C5608E"/>
    <w:rsid w:val="00C575AB"/>
    <w:rsid w:val="00C604F5"/>
    <w:rsid w:val="00C629AB"/>
    <w:rsid w:val="00C62D79"/>
    <w:rsid w:val="00C62F0F"/>
    <w:rsid w:val="00C64AE9"/>
    <w:rsid w:val="00C651D3"/>
    <w:rsid w:val="00C707C6"/>
    <w:rsid w:val="00C713E3"/>
    <w:rsid w:val="00C7242A"/>
    <w:rsid w:val="00C73867"/>
    <w:rsid w:val="00C74001"/>
    <w:rsid w:val="00C74072"/>
    <w:rsid w:val="00C74E83"/>
    <w:rsid w:val="00C75397"/>
    <w:rsid w:val="00C75BA5"/>
    <w:rsid w:val="00C77655"/>
    <w:rsid w:val="00C808F4"/>
    <w:rsid w:val="00C8305C"/>
    <w:rsid w:val="00C83C32"/>
    <w:rsid w:val="00C844DF"/>
    <w:rsid w:val="00C86C50"/>
    <w:rsid w:val="00C907DC"/>
    <w:rsid w:val="00C91676"/>
    <w:rsid w:val="00C944FD"/>
    <w:rsid w:val="00C94E88"/>
    <w:rsid w:val="00C9677C"/>
    <w:rsid w:val="00C96B97"/>
    <w:rsid w:val="00C96C0C"/>
    <w:rsid w:val="00C96DE9"/>
    <w:rsid w:val="00C97A85"/>
    <w:rsid w:val="00C97BA0"/>
    <w:rsid w:val="00CA243C"/>
    <w:rsid w:val="00CA40F4"/>
    <w:rsid w:val="00CA79C9"/>
    <w:rsid w:val="00CB027C"/>
    <w:rsid w:val="00CB0473"/>
    <w:rsid w:val="00CB0F25"/>
    <w:rsid w:val="00CB1099"/>
    <w:rsid w:val="00CB4045"/>
    <w:rsid w:val="00CB4D17"/>
    <w:rsid w:val="00CB52D5"/>
    <w:rsid w:val="00CB539B"/>
    <w:rsid w:val="00CB68F1"/>
    <w:rsid w:val="00CB6DA0"/>
    <w:rsid w:val="00CC024B"/>
    <w:rsid w:val="00CC1003"/>
    <w:rsid w:val="00CC1BE9"/>
    <w:rsid w:val="00CC36C4"/>
    <w:rsid w:val="00CC4070"/>
    <w:rsid w:val="00CC4A46"/>
    <w:rsid w:val="00CC4E8E"/>
    <w:rsid w:val="00CC7962"/>
    <w:rsid w:val="00CD3BA4"/>
    <w:rsid w:val="00CD3CE6"/>
    <w:rsid w:val="00CD724F"/>
    <w:rsid w:val="00CE13B8"/>
    <w:rsid w:val="00CE2031"/>
    <w:rsid w:val="00CE3078"/>
    <w:rsid w:val="00CE41C3"/>
    <w:rsid w:val="00CE4252"/>
    <w:rsid w:val="00CE4F24"/>
    <w:rsid w:val="00CE5E3F"/>
    <w:rsid w:val="00CE6000"/>
    <w:rsid w:val="00CE656B"/>
    <w:rsid w:val="00CF1673"/>
    <w:rsid w:val="00CF4648"/>
    <w:rsid w:val="00CF5442"/>
    <w:rsid w:val="00D00602"/>
    <w:rsid w:val="00D01719"/>
    <w:rsid w:val="00D04051"/>
    <w:rsid w:val="00D0664B"/>
    <w:rsid w:val="00D11401"/>
    <w:rsid w:val="00D11EB0"/>
    <w:rsid w:val="00D13CD1"/>
    <w:rsid w:val="00D143B3"/>
    <w:rsid w:val="00D1506C"/>
    <w:rsid w:val="00D1682F"/>
    <w:rsid w:val="00D20216"/>
    <w:rsid w:val="00D204FB"/>
    <w:rsid w:val="00D20D20"/>
    <w:rsid w:val="00D212BC"/>
    <w:rsid w:val="00D22E56"/>
    <w:rsid w:val="00D24FD0"/>
    <w:rsid w:val="00D27C00"/>
    <w:rsid w:val="00D30332"/>
    <w:rsid w:val="00D36023"/>
    <w:rsid w:val="00D36773"/>
    <w:rsid w:val="00D36EFD"/>
    <w:rsid w:val="00D3773B"/>
    <w:rsid w:val="00D406BA"/>
    <w:rsid w:val="00D43322"/>
    <w:rsid w:val="00D44101"/>
    <w:rsid w:val="00D4413D"/>
    <w:rsid w:val="00D444B1"/>
    <w:rsid w:val="00D44723"/>
    <w:rsid w:val="00D454F0"/>
    <w:rsid w:val="00D4554E"/>
    <w:rsid w:val="00D462FF"/>
    <w:rsid w:val="00D46C64"/>
    <w:rsid w:val="00D472C6"/>
    <w:rsid w:val="00D47EEA"/>
    <w:rsid w:val="00D51382"/>
    <w:rsid w:val="00D5214A"/>
    <w:rsid w:val="00D54B77"/>
    <w:rsid w:val="00D55AC4"/>
    <w:rsid w:val="00D61AA1"/>
    <w:rsid w:val="00D62DFB"/>
    <w:rsid w:val="00D64067"/>
    <w:rsid w:val="00D65A07"/>
    <w:rsid w:val="00D66778"/>
    <w:rsid w:val="00D66AFA"/>
    <w:rsid w:val="00D72545"/>
    <w:rsid w:val="00D74A70"/>
    <w:rsid w:val="00D74C9C"/>
    <w:rsid w:val="00D7648F"/>
    <w:rsid w:val="00D827D3"/>
    <w:rsid w:val="00D83ECA"/>
    <w:rsid w:val="00D867D1"/>
    <w:rsid w:val="00D8687D"/>
    <w:rsid w:val="00D925F2"/>
    <w:rsid w:val="00D932F7"/>
    <w:rsid w:val="00D93CA4"/>
    <w:rsid w:val="00D947FA"/>
    <w:rsid w:val="00D95236"/>
    <w:rsid w:val="00D95A13"/>
    <w:rsid w:val="00D95CE4"/>
    <w:rsid w:val="00D97741"/>
    <w:rsid w:val="00D979A2"/>
    <w:rsid w:val="00DA33FD"/>
    <w:rsid w:val="00DA41E7"/>
    <w:rsid w:val="00DA5AF5"/>
    <w:rsid w:val="00DB2143"/>
    <w:rsid w:val="00DB251C"/>
    <w:rsid w:val="00DB2FA6"/>
    <w:rsid w:val="00DB69A3"/>
    <w:rsid w:val="00DC4A34"/>
    <w:rsid w:val="00DC4B98"/>
    <w:rsid w:val="00DC5C28"/>
    <w:rsid w:val="00DC5F7E"/>
    <w:rsid w:val="00DC752B"/>
    <w:rsid w:val="00DD0199"/>
    <w:rsid w:val="00DD0593"/>
    <w:rsid w:val="00DD1158"/>
    <w:rsid w:val="00DD2558"/>
    <w:rsid w:val="00DD5189"/>
    <w:rsid w:val="00DD5723"/>
    <w:rsid w:val="00DD6BD8"/>
    <w:rsid w:val="00DD6CED"/>
    <w:rsid w:val="00DD71F0"/>
    <w:rsid w:val="00DD786F"/>
    <w:rsid w:val="00DE1BA9"/>
    <w:rsid w:val="00DE2592"/>
    <w:rsid w:val="00DE2B32"/>
    <w:rsid w:val="00DE3130"/>
    <w:rsid w:val="00DE343F"/>
    <w:rsid w:val="00DE639C"/>
    <w:rsid w:val="00DE7293"/>
    <w:rsid w:val="00DF10BF"/>
    <w:rsid w:val="00DF4295"/>
    <w:rsid w:val="00DF4A7B"/>
    <w:rsid w:val="00E00AF5"/>
    <w:rsid w:val="00E02CCD"/>
    <w:rsid w:val="00E0359E"/>
    <w:rsid w:val="00E038A1"/>
    <w:rsid w:val="00E03E5D"/>
    <w:rsid w:val="00E048C8"/>
    <w:rsid w:val="00E04D61"/>
    <w:rsid w:val="00E04D8E"/>
    <w:rsid w:val="00E0780B"/>
    <w:rsid w:val="00E10E4B"/>
    <w:rsid w:val="00E1117A"/>
    <w:rsid w:val="00E11507"/>
    <w:rsid w:val="00E1208E"/>
    <w:rsid w:val="00E12991"/>
    <w:rsid w:val="00E134CC"/>
    <w:rsid w:val="00E135DA"/>
    <w:rsid w:val="00E1362A"/>
    <w:rsid w:val="00E13799"/>
    <w:rsid w:val="00E138BA"/>
    <w:rsid w:val="00E172C7"/>
    <w:rsid w:val="00E17DF0"/>
    <w:rsid w:val="00E2001D"/>
    <w:rsid w:val="00E234BE"/>
    <w:rsid w:val="00E255A5"/>
    <w:rsid w:val="00E25CF6"/>
    <w:rsid w:val="00E2651C"/>
    <w:rsid w:val="00E2682D"/>
    <w:rsid w:val="00E30D2B"/>
    <w:rsid w:val="00E3125F"/>
    <w:rsid w:val="00E31C0C"/>
    <w:rsid w:val="00E31F4D"/>
    <w:rsid w:val="00E32A00"/>
    <w:rsid w:val="00E32BD5"/>
    <w:rsid w:val="00E342AE"/>
    <w:rsid w:val="00E351D1"/>
    <w:rsid w:val="00E40277"/>
    <w:rsid w:val="00E4223F"/>
    <w:rsid w:val="00E43E2A"/>
    <w:rsid w:val="00E43E8E"/>
    <w:rsid w:val="00E473C4"/>
    <w:rsid w:val="00E50280"/>
    <w:rsid w:val="00E5032E"/>
    <w:rsid w:val="00E5065F"/>
    <w:rsid w:val="00E53466"/>
    <w:rsid w:val="00E55221"/>
    <w:rsid w:val="00E559D1"/>
    <w:rsid w:val="00E561F6"/>
    <w:rsid w:val="00E61057"/>
    <w:rsid w:val="00E61118"/>
    <w:rsid w:val="00E61996"/>
    <w:rsid w:val="00E63949"/>
    <w:rsid w:val="00E642D2"/>
    <w:rsid w:val="00E64A6A"/>
    <w:rsid w:val="00E6563B"/>
    <w:rsid w:val="00E6699A"/>
    <w:rsid w:val="00E677F7"/>
    <w:rsid w:val="00E67C6D"/>
    <w:rsid w:val="00E711E1"/>
    <w:rsid w:val="00E722ED"/>
    <w:rsid w:val="00E72459"/>
    <w:rsid w:val="00E73D66"/>
    <w:rsid w:val="00E7534D"/>
    <w:rsid w:val="00E77103"/>
    <w:rsid w:val="00E77405"/>
    <w:rsid w:val="00E822AD"/>
    <w:rsid w:val="00E8363E"/>
    <w:rsid w:val="00E854F6"/>
    <w:rsid w:val="00E85F3E"/>
    <w:rsid w:val="00E87441"/>
    <w:rsid w:val="00E90AB7"/>
    <w:rsid w:val="00E90BC1"/>
    <w:rsid w:val="00E91085"/>
    <w:rsid w:val="00E91A1E"/>
    <w:rsid w:val="00E92CB5"/>
    <w:rsid w:val="00E93AD6"/>
    <w:rsid w:val="00E945EE"/>
    <w:rsid w:val="00E95ABF"/>
    <w:rsid w:val="00E96280"/>
    <w:rsid w:val="00E965A3"/>
    <w:rsid w:val="00E97803"/>
    <w:rsid w:val="00E97CB5"/>
    <w:rsid w:val="00EA04EE"/>
    <w:rsid w:val="00EA0A49"/>
    <w:rsid w:val="00EA23DF"/>
    <w:rsid w:val="00EA3981"/>
    <w:rsid w:val="00EA73B6"/>
    <w:rsid w:val="00EA7F90"/>
    <w:rsid w:val="00EB0B1D"/>
    <w:rsid w:val="00EB0FCE"/>
    <w:rsid w:val="00EB2F60"/>
    <w:rsid w:val="00EB4249"/>
    <w:rsid w:val="00EB49C7"/>
    <w:rsid w:val="00EB56B3"/>
    <w:rsid w:val="00EB62EE"/>
    <w:rsid w:val="00EB71CA"/>
    <w:rsid w:val="00EC105E"/>
    <w:rsid w:val="00EC21EA"/>
    <w:rsid w:val="00EC26E5"/>
    <w:rsid w:val="00EC484C"/>
    <w:rsid w:val="00EC492B"/>
    <w:rsid w:val="00EC55B1"/>
    <w:rsid w:val="00EC5ADA"/>
    <w:rsid w:val="00EC7582"/>
    <w:rsid w:val="00EC7594"/>
    <w:rsid w:val="00ED0435"/>
    <w:rsid w:val="00ED21EB"/>
    <w:rsid w:val="00ED2672"/>
    <w:rsid w:val="00ED3421"/>
    <w:rsid w:val="00ED365F"/>
    <w:rsid w:val="00ED61C7"/>
    <w:rsid w:val="00ED69D1"/>
    <w:rsid w:val="00ED6E8C"/>
    <w:rsid w:val="00EE1286"/>
    <w:rsid w:val="00EE2639"/>
    <w:rsid w:val="00EE4BB5"/>
    <w:rsid w:val="00EE6360"/>
    <w:rsid w:val="00EE6871"/>
    <w:rsid w:val="00EE72D3"/>
    <w:rsid w:val="00EF0C76"/>
    <w:rsid w:val="00EF0D23"/>
    <w:rsid w:val="00EF212A"/>
    <w:rsid w:val="00EF3F6F"/>
    <w:rsid w:val="00EF4E49"/>
    <w:rsid w:val="00EF70FE"/>
    <w:rsid w:val="00EF79FF"/>
    <w:rsid w:val="00F035F5"/>
    <w:rsid w:val="00F057A8"/>
    <w:rsid w:val="00F060E6"/>
    <w:rsid w:val="00F06FEA"/>
    <w:rsid w:val="00F076CE"/>
    <w:rsid w:val="00F104B1"/>
    <w:rsid w:val="00F104C1"/>
    <w:rsid w:val="00F1223A"/>
    <w:rsid w:val="00F130F2"/>
    <w:rsid w:val="00F137DB"/>
    <w:rsid w:val="00F13A8A"/>
    <w:rsid w:val="00F13AFB"/>
    <w:rsid w:val="00F14F1E"/>
    <w:rsid w:val="00F14F61"/>
    <w:rsid w:val="00F1505A"/>
    <w:rsid w:val="00F15325"/>
    <w:rsid w:val="00F15B40"/>
    <w:rsid w:val="00F16831"/>
    <w:rsid w:val="00F203B8"/>
    <w:rsid w:val="00F22297"/>
    <w:rsid w:val="00F225CB"/>
    <w:rsid w:val="00F238AC"/>
    <w:rsid w:val="00F24AB4"/>
    <w:rsid w:val="00F2550B"/>
    <w:rsid w:val="00F26BA9"/>
    <w:rsid w:val="00F30A21"/>
    <w:rsid w:val="00F32008"/>
    <w:rsid w:val="00F32C51"/>
    <w:rsid w:val="00F3388B"/>
    <w:rsid w:val="00F35BC6"/>
    <w:rsid w:val="00F35E76"/>
    <w:rsid w:val="00F3650D"/>
    <w:rsid w:val="00F36C89"/>
    <w:rsid w:val="00F372C8"/>
    <w:rsid w:val="00F40814"/>
    <w:rsid w:val="00F41E16"/>
    <w:rsid w:val="00F42AF3"/>
    <w:rsid w:val="00F42BA2"/>
    <w:rsid w:val="00F43724"/>
    <w:rsid w:val="00F472C6"/>
    <w:rsid w:val="00F4785C"/>
    <w:rsid w:val="00F47988"/>
    <w:rsid w:val="00F47FB6"/>
    <w:rsid w:val="00F501DF"/>
    <w:rsid w:val="00F5031D"/>
    <w:rsid w:val="00F50408"/>
    <w:rsid w:val="00F50F37"/>
    <w:rsid w:val="00F51E2E"/>
    <w:rsid w:val="00F52D6E"/>
    <w:rsid w:val="00F53067"/>
    <w:rsid w:val="00F5396F"/>
    <w:rsid w:val="00F5417E"/>
    <w:rsid w:val="00F55867"/>
    <w:rsid w:val="00F56D05"/>
    <w:rsid w:val="00F57BC5"/>
    <w:rsid w:val="00F62A31"/>
    <w:rsid w:val="00F636B7"/>
    <w:rsid w:val="00F64A1D"/>
    <w:rsid w:val="00F656C3"/>
    <w:rsid w:val="00F66204"/>
    <w:rsid w:val="00F6647A"/>
    <w:rsid w:val="00F715F4"/>
    <w:rsid w:val="00F7271E"/>
    <w:rsid w:val="00F7312A"/>
    <w:rsid w:val="00F75B5D"/>
    <w:rsid w:val="00F7738A"/>
    <w:rsid w:val="00F800E7"/>
    <w:rsid w:val="00F80ED5"/>
    <w:rsid w:val="00F81542"/>
    <w:rsid w:val="00F82DCD"/>
    <w:rsid w:val="00F8694F"/>
    <w:rsid w:val="00F92598"/>
    <w:rsid w:val="00F929DA"/>
    <w:rsid w:val="00F93C5B"/>
    <w:rsid w:val="00F955FB"/>
    <w:rsid w:val="00F95AEB"/>
    <w:rsid w:val="00FA0A48"/>
    <w:rsid w:val="00FA1B20"/>
    <w:rsid w:val="00FA20AC"/>
    <w:rsid w:val="00FA32DA"/>
    <w:rsid w:val="00FA4238"/>
    <w:rsid w:val="00FA5F02"/>
    <w:rsid w:val="00FA6087"/>
    <w:rsid w:val="00FA61FA"/>
    <w:rsid w:val="00FA65DC"/>
    <w:rsid w:val="00FA67E9"/>
    <w:rsid w:val="00FA7B81"/>
    <w:rsid w:val="00FA7EF9"/>
    <w:rsid w:val="00FB0B08"/>
    <w:rsid w:val="00FB3886"/>
    <w:rsid w:val="00FB435F"/>
    <w:rsid w:val="00FB45DB"/>
    <w:rsid w:val="00FB4AB2"/>
    <w:rsid w:val="00FB4F35"/>
    <w:rsid w:val="00FB548D"/>
    <w:rsid w:val="00FB5C30"/>
    <w:rsid w:val="00FB5FCA"/>
    <w:rsid w:val="00FC01A7"/>
    <w:rsid w:val="00FC0469"/>
    <w:rsid w:val="00FC0998"/>
    <w:rsid w:val="00FC245D"/>
    <w:rsid w:val="00FC2DCE"/>
    <w:rsid w:val="00FC3CD3"/>
    <w:rsid w:val="00FC52C7"/>
    <w:rsid w:val="00FC604A"/>
    <w:rsid w:val="00FC7D00"/>
    <w:rsid w:val="00FD1B68"/>
    <w:rsid w:val="00FD2883"/>
    <w:rsid w:val="00FD489B"/>
    <w:rsid w:val="00FD5A8B"/>
    <w:rsid w:val="00FD62BA"/>
    <w:rsid w:val="00FD6D4E"/>
    <w:rsid w:val="00FE1897"/>
    <w:rsid w:val="00FE2048"/>
    <w:rsid w:val="00FE3041"/>
    <w:rsid w:val="00FE349D"/>
    <w:rsid w:val="00FE466A"/>
    <w:rsid w:val="00FE48AB"/>
    <w:rsid w:val="00FE63CB"/>
    <w:rsid w:val="00FE6D05"/>
    <w:rsid w:val="00FE6DDC"/>
    <w:rsid w:val="00FE7AC5"/>
    <w:rsid w:val="00FE7B90"/>
    <w:rsid w:val="00FF18FB"/>
    <w:rsid w:val="00FF3A9B"/>
    <w:rsid w:val="00FF4CE2"/>
    <w:rsid w:val="010A32F0"/>
    <w:rsid w:val="01653C43"/>
    <w:rsid w:val="02107B5C"/>
    <w:rsid w:val="028C55DD"/>
    <w:rsid w:val="02D4312D"/>
    <w:rsid w:val="03666B5A"/>
    <w:rsid w:val="037C44AF"/>
    <w:rsid w:val="03BE1D80"/>
    <w:rsid w:val="04372CA8"/>
    <w:rsid w:val="04425600"/>
    <w:rsid w:val="046F3736"/>
    <w:rsid w:val="04BB4A7B"/>
    <w:rsid w:val="057933F7"/>
    <w:rsid w:val="05B178E3"/>
    <w:rsid w:val="06011770"/>
    <w:rsid w:val="061331A3"/>
    <w:rsid w:val="072D1343"/>
    <w:rsid w:val="07C60F85"/>
    <w:rsid w:val="08482EC1"/>
    <w:rsid w:val="0962402C"/>
    <w:rsid w:val="09BA5194"/>
    <w:rsid w:val="0A375B31"/>
    <w:rsid w:val="0CFC48D1"/>
    <w:rsid w:val="0F3F5408"/>
    <w:rsid w:val="0F6C228C"/>
    <w:rsid w:val="104F3C6E"/>
    <w:rsid w:val="1101153C"/>
    <w:rsid w:val="112545A7"/>
    <w:rsid w:val="11511160"/>
    <w:rsid w:val="13456EB3"/>
    <w:rsid w:val="13A13FDB"/>
    <w:rsid w:val="142E5A78"/>
    <w:rsid w:val="159A06AB"/>
    <w:rsid w:val="159D03F5"/>
    <w:rsid w:val="15BD7B36"/>
    <w:rsid w:val="16760333"/>
    <w:rsid w:val="16BC42DB"/>
    <w:rsid w:val="17314A2D"/>
    <w:rsid w:val="1876405C"/>
    <w:rsid w:val="1900173C"/>
    <w:rsid w:val="190E28EE"/>
    <w:rsid w:val="1919733A"/>
    <w:rsid w:val="194E79EE"/>
    <w:rsid w:val="19632314"/>
    <w:rsid w:val="1B466E13"/>
    <w:rsid w:val="1B7D3A59"/>
    <w:rsid w:val="1C07351B"/>
    <w:rsid w:val="1DE37A6B"/>
    <w:rsid w:val="1E630B60"/>
    <w:rsid w:val="1ECA0940"/>
    <w:rsid w:val="1EDC3AC2"/>
    <w:rsid w:val="1FC81959"/>
    <w:rsid w:val="20D153E2"/>
    <w:rsid w:val="21417BBB"/>
    <w:rsid w:val="218B28D6"/>
    <w:rsid w:val="222D31A7"/>
    <w:rsid w:val="22350E20"/>
    <w:rsid w:val="226E48F4"/>
    <w:rsid w:val="22CC7306"/>
    <w:rsid w:val="233A69CA"/>
    <w:rsid w:val="23FB00EA"/>
    <w:rsid w:val="240F1DF7"/>
    <w:rsid w:val="249B061C"/>
    <w:rsid w:val="254259F1"/>
    <w:rsid w:val="27864EE7"/>
    <w:rsid w:val="286A44B4"/>
    <w:rsid w:val="294C2026"/>
    <w:rsid w:val="2AB44103"/>
    <w:rsid w:val="2B453DB1"/>
    <w:rsid w:val="2B8D2C6F"/>
    <w:rsid w:val="2BF27A28"/>
    <w:rsid w:val="2F2634F6"/>
    <w:rsid w:val="2F8111E1"/>
    <w:rsid w:val="2FA16275"/>
    <w:rsid w:val="2FE853E7"/>
    <w:rsid w:val="301669ED"/>
    <w:rsid w:val="30F93C52"/>
    <w:rsid w:val="314B5B2D"/>
    <w:rsid w:val="31AA76EF"/>
    <w:rsid w:val="31E97560"/>
    <w:rsid w:val="32202B8F"/>
    <w:rsid w:val="3312101D"/>
    <w:rsid w:val="333117AB"/>
    <w:rsid w:val="33F726A6"/>
    <w:rsid w:val="33F9467B"/>
    <w:rsid w:val="34506DAA"/>
    <w:rsid w:val="34A93A93"/>
    <w:rsid w:val="34C440BC"/>
    <w:rsid w:val="34D9542F"/>
    <w:rsid w:val="354C51E4"/>
    <w:rsid w:val="35537C19"/>
    <w:rsid w:val="359A566F"/>
    <w:rsid w:val="36306EAE"/>
    <w:rsid w:val="36BA5AAE"/>
    <w:rsid w:val="375F4F50"/>
    <w:rsid w:val="37A94A71"/>
    <w:rsid w:val="387311A0"/>
    <w:rsid w:val="39057B3E"/>
    <w:rsid w:val="390B168F"/>
    <w:rsid w:val="3A4253AF"/>
    <w:rsid w:val="3ADF780E"/>
    <w:rsid w:val="3B31149A"/>
    <w:rsid w:val="3C1C53E4"/>
    <w:rsid w:val="3C7445C0"/>
    <w:rsid w:val="3C82303A"/>
    <w:rsid w:val="3CD2520D"/>
    <w:rsid w:val="3D2F3816"/>
    <w:rsid w:val="3D662619"/>
    <w:rsid w:val="3D6E0245"/>
    <w:rsid w:val="3E422702"/>
    <w:rsid w:val="3F2672E1"/>
    <w:rsid w:val="4033757C"/>
    <w:rsid w:val="409A7415"/>
    <w:rsid w:val="41396EFA"/>
    <w:rsid w:val="41C07489"/>
    <w:rsid w:val="424A433D"/>
    <w:rsid w:val="424B1882"/>
    <w:rsid w:val="450902BE"/>
    <w:rsid w:val="46CB12A4"/>
    <w:rsid w:val="478F59E1"/>
    <w:rsid w:val="47C73FEF"/>
    <w:rsid w:val="48360ECA"/>
    <w:rsid w:val="488A7DA1"/>
    <w:rsid w:val="48CD6036"/>
    <w:rsid w:val="49307E9E"/>
    <w:rsid w:val="4998236C"/>
    <w:rsid w:val="4C6306E7"/>
    <w:rsid w:val="4CEE1D9C"/>
    <w:rsid w:val="4D58305C"/>
    <w:rsid w:val="4DB07E00"/>
    <w:rsid w:val="4DB3157B"/>
    <w:rsid w:val="4FA0479A"/>
    <w:rsid w:val="514C3B1D"/>
    <w:rsid w:val="521720FD"/>
    <w:rsid w:val="52E63773"/>
    <w:rsid w:val="531E6336"/>
    <w:rsid w:val="5376059B"/>
    <w:rsid w:val="5594029C"/>
    <w:rsid w:val="55952C3A"/>
    <w:rsid w:val="559B7A75"/>
    <w:rsid w:val="55DF6CC3"/>
    <w:rsid w:val="56105E40"/>
    <w:rsid w:val="57A25B5B"/>
    <w:rsid w:val="57AD6573"/>
    <w:rsid w:val="57B83170"/>
    <w:rsid w:val="592668D6"/>
    <w:rsid w:val="59583A76"/>
    <w:rsid w:val="59B0158A"/>
    <w:rsid w:val="5AFE5F45"/>
    <w:rsid w:val="5C056F97"/>
    <w:rsid w:val="5CCA2307"/>
    <w:rsid w:val="5F564087"/>
    <w:rsid w:val="5FEB280C"/>
    <w:rsid w:val="60B562DB"/>
    <w:rsid w:val="617172A2"/>
    <w:rsid w:val="61863EF1"/>
    <w:rsid w:val="61A04B43"/>
    <w:rsid w:val="622950C7"/>
    <w:rsid w:val="64E2625D"/>
    <w:rsid w:val="64FB74FB"/>
    <w:rsid w:val="654E5281"/>
    <w:rsid w:val="658B1436"/>
    <w:rsid w:val="66DF5675"/>
    <w:rsid w:val="67831843"/>
    <w:rsid w:val="68291780"/>
    <w:rsid w:val="684549BC"/>
    <w:rsid w:val="684B47D6"/>
    <w:rsid w:val="68AF3751"/>
    <w:rsid w:val="698869DE"/>
    <w:rsid w:val="6B280551"/>
    <w:rsid w:val="6BC4437E"/>
    <w:rsid w:val="6BCA6218"/>
    <w:rsid w:val="6C231DEF"/>
    <w:rsid w:val="6D993991"/>
    <w:rsid w:val="6E4305E1"/>
    <w:rsid w:val="6F0F4B79"/>
    <w:rsid w:val="6F6860A6"/>
    <w:rsid w:val="723448D9"/>
    <w:rsid w:val="724845BB"/>
    <w:rsid w:val="72490332"/>
    <w:rsid w:val="72585492"/>
    <w:rsid w:val="729F0C6B"/>
    <w:rsid w:val="72DC3BA4"/>
    <w:rsid w:val="73BE4AFE"/>
    <w:rsid w:val="7511499B"/>
    <w:rsid w:val="755523CC"/>
    <w:rsid w:val="762A164A"/>
    <w:rsid w:val="76736F89"/>
    <w:rsid w:val="77067579"/>
    <w:rsid w:val="77424F14"/>
    <w:rsid w:val="77C37461"/>
    <w:rsid w:val="77E46B9D"/>
    <w:rsid w:val="789B38C4"/>
    <w:rsid w:val="78CB66E0"/>
    <w:rsid w:val="78EE2E9F"/>
    <w:rsid w:val="7921037A"/>
    <w:rsid w:val="799A6677"/>
    <w:rsid w:val="7A6424D0"/>
    <w:rsid w:val="7A95479A"/>
    <w:rsid w:val="7B4F7EE5"/>
    <w:rsid w:val="7CD922D0"/>
    <w:rsid w:val="7DC17118"/>
    <w:rsid w:val="7EDA4DF2"/>
    <w:rsid w:val="7FD2736B"/>
    <w:rsid w:val="7FE91E7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1"/>
    <w:qFormat/>
    <w:uiPriority w:val="0"/>
    <w:pPr>
      <w:keepNext/>
      <w:keepLines/>
      <w:spacing w:before="340" w:after="330" w:line="578" w:lineRule="auto"/>
      <w:outlineLvl w:val="0"/>
    </w:pPr>
    <w:rPr>
      <w:b/>
      <w:bCs/>
      <w:kern w:val="44"/>
      <w:sz w:val="44"/>
      <w:szCs w:val="44"/>
    </w:rPr>
  </w:style>
  <w:style w:type="paragraph" w:styleId="4">
    <w:name w:val="heading 3"/>
    <w:basedOn w:val="1"/>
    <w:next w:val="1"/>
    <w:link w:val="32"/>
    <w:qFormat/>
    <w:uiPriority w:val="0"/>
    <w:pPr>
      <w:autoSpaceDE w:val="0"/>
      <w:autoSpaceDN w:val="0"/>
      <w:adjustRightInd w:val="0"/>
      <w:ind w:left="964" w:hanging="504"/>
      <w:jc w:val="left"/>
      <w:outlineLvl w:val="2"/>
    </w:pPr>
    <w:rPr>
      <w:b/>
      <w:bCs/>
      <w:kern w:val="0"/>
      <w:sz w:val="28"/>
      <w:szCs w:val="28"/>
      <w:lang w:val="zh-CN"/>
    </w:rPr>
  </w:style>
  <w:style w:type="paragraph" w:styleId="5">
    <w:name w:val="heading 4"/>
    <w:basedOn w:val="1"/>
    <w:next w:val="1"/>
    <w:link w:val="33"/>
    <w:qFormat/>
    <w:uiPriority w:val="0"/>
    <w:pPr>
      <w:keepNext/>
      <w:keepLines/>
      <w:spacing w:before="280" w:after="290" w:line="376" w:lineRule="auto"/>
      <w:outlineLvl w:val="3"/>
    </w:pPr>
    <w:rPr>
      <w:rFonts w:ascii="等线 Light" w:hAnsi="等线 Light" w:eastAsia="等线 Light" w:cs="Times New Roman"/>
      <w:b/>
      <w:bCs/>
      <w:sz w:val="28"/>
      <w:szCs w:val="28"/>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No Spacing"/>
    <w:qFormat/>
    <w:uiPriority w:val="0"/>
    <w:pPr>
      <w:adjustRightInd w:val="0"/>
      <w:snapToGrid w:val="0"/>
    </w:pPr>
    <w:rPr>
      <w:rFonts w:ascii="Tahoma" w:hAnsi="Tahoma" w:eastAsia="微软雅黑" w:cs="Times New Roman"/>
      <w:sz w:val="22"/>
      <w:szCs w:val="22"/>
      <w:lang w:val="en-US" w:eastAsia="zh-CN" w:bidi="ar-SA"/>
    </w:rPr>
  </w:style>
  <w:style w:type="paragraph" w:styleId="6">
    <w:name w:val="caption"/>
    <w:basedOn w:val="1"/>
    <w:next w:val="1"/>
    <w:qFormat/>
    <w:uiPriority w:val="35"/>
    <w:pPr>
      <w:spacing w:line="360" w:lineRule="auto"/>
      <w:ind w:firstLine="200" w:firstLineChars="200"/>
      <w:jc w:val="center"/>
    </w:pPr>
    <w:rPr>
      <w:rFonts w:ascii="Cambria" w:hAnsi="Cambria" w:eastAsia="宋体" w:cs="宋体"/>
      <w:b/>
      <w:szCs w:val="28"/>
    </w:rPr>
  </w:style>
  <w:style w:type="paragraph" w:styleId="7">
    <w:name w:val="annotation text"/>
    <w:basedOn w:val="1"/>
    <w:link w:val="34"/>
    <w:qFormat/>
    <w:uiPriority w:val="0"/>
    <w:pPr>
      <w:jc w:val="left"/>
    </w:pPr>
  </w:style>
  <w:style w:type="paragraph" w:styleId="8">
    <w:name w:val="Body Text"/>
    <w:basedOn w:val="1"/>
    <w:link w:val="35"/>
    <w:qFormat/>
    <w:uiPriority w:val="1"/>
    <w:pPr>
      <w:autoSpaceDE w:val="0"/>
      <w:autoSpaceDN w:val="0"/>
      <w:adjustRightInd w:val="0"/>
      <w:ind w:left="840" w:hanging="361"/>
      <w:jc w:val="left"/>
    </w:pPr>
    <w:rPr>
      <w:kern w:val="0"/>
      <w:sz w:val="24"/>
      <w:lang w:val="zh-CN"/>
    </w:rPr>
  </w:style>
  <w:style w:type="paragraph" w:styleId="9">
    <w:name w:val="Body Text Indent"/>
    <w:basedOn w:val="1"/>
    <w:qFormat/>
    <w:uiPriority w:val="99"/>
    <w:pPr>
      <w:widowControl w:val="0"/>
      <w:spacing w:after="120"/>
      <w:ind w:left="420" w:leftChars="200"/>
      <w:jc w:val="both"/>
    </w:pPr>
    <w:rPr>
      <w:rFonts w:ascii="Times New Roman" w:hAnsi="Times New Roman" w:cs="Times New Roman"/>
      <w:kern w:val="2"/>
      <w:sz w:val="21"/>
      <w:szCs w:val="20"/>
    </w:rPr>
  </w:style>
  <w:style w:type="paragraph" w:styleId="10">
    <w:name w:val="Date"/>
    <w:basedOn w:val="1"/>
    <w:next w:val="1"/>
    <w:link w:val="36"/>
    <w:qFormat/>
    <w:uiPriority w:val="0"/>
    <w:pPr>
      <w:ind w:left="100" w:leftChars="2500"/>
    </w:pPr>
  </w:style>
  <w:style w:type="paragraph" w:styleId="11">
    <w:name w:val="Balloon Text"/>
    <w:basedOn w:val="1"/>
    <w:link w:val="37"/>
    <w:uiPriority w:val="0"/>
    <w:rPr>
      <w:sz w:val="18"/>
      <w:szCs w:val="18"/>
    </w:rPr>
  </w:style>
  <w:style w:type="paragraph" w:styleId="12">
    <w:name w:val="footer"/>
    <w:basedOn w:val="1"/>
    <w:link w:val="38"/>
    <w:qFormat/>
    <w:uiPriority w:val="99"/>
    <w:pPr>
      <w:tabs>
        <w:tab w:val="center" w:pos="4153"/>
        <w:tab w:val="right" w:pos="8306"/>
      </w:tabs>
      <w:snapToGrid w:val="0"/>
      <w:jc w:val="left"/>
    </w:pPr>
    <w:rPr>
      <w:sz w:val="18"/>
      <w:szCs w:val="18"/>
    </w:rPr>
  </w:style>
  <w:style w:type="paragraph" w:styleId="13">
    <w:name w:val="header"/>
    <w:basedOn w:val="1"/>
    <w:link w:val="39"/>
    <w:qFormat/>
    <w:uiPriority w:val="99"/>
    <w:pPr>
      <w:pBdr>
        <w:bottom w:val="single" w:color="auto" w:sz="6" w:space="1"/>
      </w:pBdr>
      <w:tabs>
        <w:tab w:val="center" w:pos="4153"/>
        <w:tab w:val="right" w:pos="8306"/>
      </w:tabs>
      <w:snapToGrid w:val="0"/>
      <w:jc w:val="center"/>
    </w:pPr>
    <w:rPr>
      <w:sz w:val="18"/>
      <w:szCs w:val="18"/>
    </w:rPr>
  </w:style>
  <w:style w:type="paragraph" w:styleId="14">
    <w:name w:val="footnote text"/>
    <w:basedOn w:val="1"/>
    <w:unhideWhenUsed/>
    <w:qFormat/>
    <w:uiPriority w:val="0"/>
    <w:pPr>
      <w:snapToGrid w:val="0"/>
      <w:jc w:val="left"/>
    </w:pPr>
    <w:rPr>
      <w:sz w:val="18"/>
    </w:rPr>
  </w:style>
  <w:style w:type="paragraph" w:styleId="15">
    <w:name w:val="Normal (Web)"/>
    <w:basedOn w:val="1"/>
    <w:qFormat/>
    <w:uiPriority w:val="99"/>
    <w:pPr>
      <w:spacing w:before="42" w:beforeAutospacing="0" w:after="42" w:afterAutospacing="0"/>
      <w:ind w:left="0" w:right="0"/>
      <w:jc w:val="left"/>
    </w:pPr>
    <w:rPr>
      <w:kern w:val="0"/>
      <w:sz w:val="24"/>
      <w:lang w:val="en-US" w:eastAsia="zh-CN" w:bidi="ar"/>
    </w:rPr>
  </w:style>
  <w:style w:type="paragraph" w:styleId="16">
    <w:name w:val="annotation subject"/>
    <w:basedOn w:val="7"/>
    <w:next w:val="7"/>
    <w:link w:val="40"/>
    <w:qFormat/>
    <w:uiPriority w:val="0"/>
    <w:rPr>
      <w:b/>
      <w:bCs/>
    </w:rPr>
  </w:style>
  <w:style w:type="table" w:styleId="18">
    <w:name w:val="Table Grid"/>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qFormat/>
    <w:uiPriority w:val="0"/>
    <w:rPr>
      <w:b/>
      <w:bCs/>
    </w:rPr>
  </w:style>
  <w:style w:type="character" w:styleId="21">
    <w:name w:val="page number"/>
    <w:qFormat/>
    <w:uiPriority w:val="0"/>
  </w:style>
  <w:style w:type="character" w:styleId="22">
    <w:name w:val="FollowedHyperlink"/>
    <w:qFormat/>
    <w:uiPriority w:val="0"/>
    <w:rPr>
      <w:color w:val="337AB7"/>
      <w:u w:val="none"/>
    </w:rPr>
  </w:style>
  <w:style w:type="character" w:styleId="23">
    <w:name w:val="line number"/>
    <w:qFormat/>
    <w:uiPriority w:val="0"/>
  </w:style>
  <w:style w:type="character" w:styleId="24">
    <w:name w:val="HTML Definition"/>
    <w:qFormat/>
    <w:uiPriority w:val="0"/>
    <w:rPr>
      <w:i/>
    </w:rPr>
  </w:style>
  <w:style w:type="character" w:styleId="25">
    <w:name w:val="Hyperlink"/>
    <w:qFormat/>
    <w:uiPriority w:val="0"/>
    <w:rPr>
      <w:color w:val="337AB7"/>
      <w:u w:val="none"/>
    </w:rPr>
  </w:style>
  <w:style w:type="character" w:styleId="26">
    <w:name w:val="HTML Code"/>
    <w:qFormat/>
    <w:uiPriority w:val="0"/>
    <w:rPr>
      <w:rFonts w:ascii="Consolas" w:hAnsi="Consolas" w:eastAsia="Consolas" w:cs="Consolas"/>
      <w:color w:val="C7254E"/>
      <w:sz w:val="21"/>
      <w:szCs w:val="21"/>
      <w:shd w:val="clear" w:color="auto" w:fill="F9F2F4"/>
    </w:rPr>
  </w:style>
  <w:style w:type="character" w:styleId="27">
    <w:name w:val="annotation reference"/>
    <w:qFormat/>
    <w:uiPriority w:val="0"/>
    <w:rPr>
      <w:sz w:val="21"/>
      <w:szCs w:val="21"/>
    </w:rPr>
  </w:style>
  <w:style w:type="character" w:styleId="28">
    <w:name w:val="footnote reference"/>
    <w:unhideWhenUsed/>
    <w:qFormat/>
    <w:uiPriority w:val="0"/>
    <w:rPr>
      <w:vertAlign w:val="superscript"/>
    </w:rPr>
  </w:style>
  <w:style w:type="character" w:styleId="29">
    <w:name w:val="HTML Keyboard"/>
    <w:qFormat/>
    <w:uiPriority w:val="0"/>
    <w:rPr>
      <w:rFonts w:hint="default" w:ascii="Consolas" w:hAnsi="Consolas" w:eastAsia="Consolas" w:cs="Consolas"/>
      <w:color w:val="FFFFFF"/>
      <w:sz w:val="21"/>
      <w:szCs w:val="21"/>
      <w:shd w:val="clear" w:color="auto" w:fill="333333"/>
    </w:rPr>
  </w:style>
  <w:style w:type="character" w:styleId="30">
    <w:name w:val="HTML Sample"/>
    <w:qFormat/>
    <w:uiPriority w:val="0"/>
    <w:rPr>
      <w:rFonts w:hint="default" w:ascii="Consolas" w:hAnsi="Consolas" w:eastAsia="Consolas" w:cs="Consolas"/>
      <w:sz w:val="21"/>
      <w:szCs w:val="21"/>
    </w:rPr>
  </w:style>
  <w:style w:type="character" w:customStyle="1" w:styleId="31">
    <w:name w:val="标题 1 字符"/>
    <w:link w:val="3"/>
    <w:qFormat/>
    <w:uiPriority w:val="0"/>
    <w:rPr>
      <w:b/>
      <w:bCs/>
      <w:kern w:val="44"/>
      <w:sz w:val="44"/>
      <w:szCs w:val="44"/>
    </w:rPr>
  </w:style>
  <w:style w:type="character" w:customStyle="1" w:styleId="32">
    <w:name w:val="标题 3 字符"/>
    <w:link w:val="4"/>
    <w:qFormat/>
    <w:uiPriority w:val="0"/>
    <w:rPr>
      <w:b/>
      <w:bCs/>
      <w:sz w:val="28"/>
      <w:szCs w:val="28"/>
      <w:lang w:val="zh-CN"/>
    </w:rPr>
  </w:style>
  <w:style w:type="character" w:customStyle="1" w:styleId="33">
    <w:name w:val="标题 4 字符"/>
    <w:link w:val="5"/>
    <w:qFormat/>
    <w:uiPriority w:val="0"/>
    <w:rPr>
      <w:rFonts w:ascii="等线 Light" w:hAnsi="等线 Light" w:eastAsia="等线 Light" w:cs="Times New Roman"/>
      <w:b/>
      <w:bCs/>
      <w:kern w:val="2"/>
      <w:sz w:val="28"/>
      <w:szCs w:val="28"/>
    </w:rPr>
  </w:style>
  <w:style w:type="character" w:customStyle="1" w:styleId="34">
    <w:name w:val="批注文字 字符"/>
    <w:link w:val="7"/>
    <w:qFormat/>
    <w:uiPriority w:val="0"/>
    <w:rPr>
      <w:kern w:val="2"/>
      <w:sz w:val="21"/>
      <w:szCs w:val="24"/>
    </w:rPr>
  </w:style>
  <w:style w:type="character" w:customStyle="1" w:styleId="35">
    <w:name w:val="正文文本 字符"/>
    <w:link w:val="8"/>
    <w:qFormat/>
    <w:uiPriority w:val="1"/>
    <w:rPr>
      <w:sz w:val="24"/>
      <w:szCs w:val="24"/>
      <w:lang w:val="zh-CN"/>
    </w:rPr>
  </w:style>
  <w:style w:type="character" w:customStyle="1" w:styleId="36">
    <w:name w:val="日期 字符"/>
    <w:link w:val="10"/>
    <w:qFormat/>
    <w:uiPriority w:val="0"/>
    <w:rPr>
      <w:kern w:val="2"/>
      <w:sz w:val="21"/>
      <w:szCs w:val="24"/>
    </w:rPr>
  </w:style>
  <w:style w:type="character" w:customStyle="1" w:styleId="37">
    <w:name w:val="批注框文本 字符"/>
    <w:link w:val="11"/>
    <w:qFormat/>
    <w:uiPriority w:val="0"/>
    <w:rPr>
      <w:kern w:val="2"/>
      <w:sz w:val="18"/>
      <w:szCs w:val="18"/>
    </w:rPr>
  </w:style>
  <w:style w:type="character" w:customStyle="1" w:styleId="38">
    <w:name w:val="页脚 字符"/>
    <w:link w:val="12"/>
    <w:qFormat/>
    <w:uiPriority w:val="99"/>
    <w:rPr>
      <w:kern w:val="2"/>
      <w:sz w:val="18"/>
      <w:szCs w:val="18"/>
    </w:rPr>
  </w:style>
  <w:style w:type="character" w:customStyle="1" w:styleId="39">
    <w:name w:val="页眉 字符"/>
    <w:link w:val="13"/>
    <w:qFormat/>
    <w:uiPriority w:val="99"/>
    <w:rPr>
      <w:kern w:val="2"/>
      <w:sz w:val="18"/>
      <w:szCs w:val="18"/>
    </w:rPr>
  </w:style>
  <w:style w:type="character" w:customStyle="1" w:styleId="40">
    <w:name w:val="批注主题 字符"/>
    <w:link w:val="16"/>
    <w:qFormat/>
    <w:uiPriority w:val="0"/>
    <w:rPr>
      <w:b/>
      <w:bCs/>
      <w:kern w:val="2"/>
      <w:sz w:val="21"/>
      <w:szCs w:val="24"/>
    </w:rPr>
  </w:style>
  <w:style w:type="character" w:customStyle="1" w:styleId="41">
    <w:name w:val="shoulihao"/>
    <w:qFormat/>
    <w:uiPriority w:val="0"/>
    <w:rPr>
      <w:b/>
      <w:color w:val="2884CD"/>
    </w:rPr>
  </w:style>
  <w:style w:type="character" w:customStyle="1" w:styleId="42">
    <w:name w:val="time"/>
    <w:qFormat/>
    <w:uiPriority w:val="0"/>
    <w:rPr>
      <w:b/>
      <w:color w:val="2884CD"/>
    </w:rPr>
  </w:style>
  <w:style w:type="character" w:customStyle="1" w:styleId="43">
    <w:name w:val="help2"/>
    <w:qFormat/>
    <w:uiPriority w:val="0"/>
    <w:rPr>
      <w:sz w:val="8"/>
      <w:szCs w:val="8"/>
    </w:rPr>
  </w:style>
  <w:style w:type="character" w:customStyle="1" w:styleId="44">
    <w:name w:val="download"/>
    <w:qFormat/>
    <w:uiPriority w:val="0"/>
    <w:rPr>
      <w:color w:val="FFFFFF"/>
      <w:sz w:val="10"/>
      <w:szCs w:val="10"/>
      <w:shd w:val="clear" w:color="auto" w:fill="9EABBE"/>
    </w:rPr>
  </w:style>
  <w:style w:type="character" w:customStyle="1" w:styleId="45">
    <w:name w:val="help"/>
    <w:qFormat/>
    <w:uiPriority w:val="0"/>
    <w:rPr>
      <w:color w:val="F44336"/>
    </w:rPr>
  </w:style>
  <w:style w:type="character" w:customStyle="1" w:styleId="46">
    <w:name w:val="avatar-circle"/>
    <w:qFormat/>
    <w:uiPriority w:val="0"/>
    <w:rPr>
      <w:color w:val="2779AA"/>
      <w:sz w:val="16"/>
      <w:szCs w:val="16"/>
      <w:bdr w:val="single" w:color="AED0EA" w:sz="2" w:space="0"/>
      <w:shd w:val="clear" w:color="auto" w:fill="D7EBF9"/>
    </w:rPr>
  </w:style>
  <w:style w:type="character" w:customStyle="1" w:styleId="47">
    <w:name w:val="help1"/>
    <w:qFormat/>
    <w:uiPriority w:val="0"/>
    <w:rPr>
      <w:color w:val="F44336"/>
    </w:rPr>
  </w:style>
  <w:style w:type="paragraph" w:customStyle="1" w:styleId="48">
    <w:name w:val="正文 A"/>
    <w:qFormat/>
    <w:uiPriority w:val="0"/>
    <w:pPr>
      <w:widowControl w:val="0"/>
      <w:pBdr>
        <w:top w:val="none" w:color="FFFFFF" w:sz="0" w:space="31"/>
        <w:left w:val="none" w:color="FFFFFF" w:sz="0" w:space="31"/>
        <w:bottom w:val="none" w:color="FFFFFF" w:sz="0" w:space="31"/>
        <w:right w:val="none" w:color="FFFFFF" w:sz="0" w:space="31"/>
      </w:pBdr>
      <w:jc w:val="both"/>
    </w:pPr>
    <w:rPr>
      <w:rFonts w:ascii="Times New Roman" w:hAnsi="Times New Roman" w:eastAsia="Times New Roman" w:cs="Arial Unicode MS"/>
      <w:color w:val="000000"/>
      <w:kern w:val="2"/>
      <w:sz w:val="21"/>
      <w:szCs w:val="21"/>
      <w:u w:val="none" w:color="000000"/>
      <w:lang w:val="en-US" w:eastAsia="zh-CN" w:bidi="ar-SA"/>
    </w:rPr>
  </w:style>
  <w:style w:type="paragraph" w:styleId="49">
    <w:name w:val="List Paragraph"/>
    <w:basedOn w:val="1"/>
    <w:qFormat/>
    <w:uiPriority w:val="34"/>
    <w:pPr>
      <w:ind w:firstLine="420" w:firstLineChars="200"/>
    </w:pPr>
    <w:rPr>
      <w:rFonts w:ascii="Calibri" w:hAnsi="Calibri"/>
      <w:szCs w:val="22"/>
    </w:rPr>
  </w:style>
  <w:style w:type="paragraph" w:customStyle="1" w:styleId="50">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1">
    <w:name w:val="封面标准名称"/>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52">
    <w:name w:val="正首悬"/>
    <w:basedOn w:val="1"/>
    <w:qFormat/>
    <w:uiPriority w:val="0"/>
    <w:pPr>
      <w:widowControl/>
      <w:spacing w:line="360" w:lineRule="auto"/>
      <w:ind w:left="300" w:leftChars="200" w:right="200" w:rightChars="200" w:hanging="100" w:hangingChars="100"/>
    </w:pPr>
    <w:rPr>
      <w:rFonts w:ascii="Arial" w:hAnsi="Arial"/>
      <w:kern w:val="0"/>
      <w:szCs w:val="72"/>
    </w:rPr>
  </w:style>
  <w:style w:type="paragraph" w:customStyle="1" w:styleId="53">
    <w:name w:val="字母编号列项（一级）"/>
    <w:qFormat/>
    <w:uiPriority w:val="0"/>
    <w:pPr>
      <w:ind w:left="840" w:leftChars="200" w:hanging="420" w:hangingChars="200"/>
      <w:jc w:val="both"/>
    </w:pPr>
    <w:rPr>
      <w:rFonts w:ascii="宋体" w:hAnsi="Times New Roman" w:eastAsia="宋体" w:cs="宋体"/>
      <w:lang w:val="en-US" w:eastAsia="zh-CN" w:bidi="ar-SA"/>
    </w:rPr>
  </w:style>
  <w:style w:type="paragraph" w:customStyle="1" w:styleId="54">
    <w:name w:val="彩色列表 - 强调文字颜色 11"/>
    <w:basedOn w:val="1"/>
    <w:qFormat/>
    <w:uiPriority w:val="34"/>
    <w:pPr>
      <w:spacing w:line="360" w:lineRule="auto"/>
      <w:ind w:firstLine="420" w:firstLineChars="200"/>
      <w:jc w:val="left"/>
    </w:pPr>
    <w:rPr>
      <w:rFonts w:ascii="Times New Roman" w:hAnsi="Times New Roman" w:eastAsia="宋体" w:cs="Times New Roman"/>
      <w:sz w:val="24"/>
      <w:szCs w:val="24"/>
    </w:rPr>
  </w:style>
  <w:style w:type="character" w:customStyle="1" w:styleId="55">
    <w:name w:val="段 Char"/>
    <w:link w:val="56"/>
    <w:qFormat/>
    <w:uiPriority w:val="0"/>
    <w:rPr>
      <w:rFonts w:ascii="宋体"/>
      <w:sz w:val="21"/>
      <w:lang w:val="en-US" w:eastAsia="zh-CN" w:bidi="ar-SA"/>
    </w:rPr>
  </w:style>
  <w:style w:type="paragraph" w:customStyle="1" w:styleId="56">
    <w:name w:val="段"/>
    <w:link w:val="55"/>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57">
    <w:name w:val="fontstyle01"/>
    <w:qFormat/>
    <w:uiPriority w:val="0"/>
    <w:rPr>
      <w:rFonts w:hint="default" w:ascii="ArnoPro-Regular" w:hAnsi="ArnoPro-Regular"/>
      <w:color w:val="231916"/>
      <w:sz w:val="16"/>
      <w:szCs w:val="16"/>
    </w:rPr>
  </w:style>
  <w:style w:type="character" w:customStyle="1" w:styleId="58">
    <w:name w:val="fontstyle21"/>
    <w:qFormat/>
    <w:uiPriority w:val="0"/>
    <w:rPr>
      <w:rFonts w:hint="default" w:ascii="ArnoPro-Italic" w:hAnsi="ArnoPro-Italic"/>
      <w:i/>
      <w:iCs/>
      <w:color w:val="231916"/>
      <w:sz w:val="16"/>
      <w:szCs w:val="16"/>
    </w:rPr>
  </w:style>
  <w:style w:type="paragraph" w:customStyle="1" w:styleId="59">
    <w:name w:val="列出段落1"/>
    <w:basedOn w:val="1"/>
    <w:link w:val="60"/>
    <w:qFormat/>
    <w:uiPriority w:val="34"/>
    <w:pPr>
      <w:ind w:firstLine="420" w:firstLineChars="200"/>
    </w:pPr>
    <w:rPr>
      <w:rFonts w:eastAsia="仿宋_GB2312"/>
      <w:sz w:val="32"/>
      <w:szCs w:val="32"/>
    </w:rPr>
  </w:style>
  <w:style w:type="character" w:customStyle="1" w:styleId="60">
    <w:name w:val="列出段落 Char"/>
    <w:link w:val="59"/>
    <w:qFormat/>
    <w:uiPriority w:val="34"/>
    <w:rPr>
      <w:rFonts w:eastAsia="仿宋_GB2312"/>
      <w:kern w:val="2"/>
      <w:sz w:val="32"/>
      <w:szCs w:val="32"/>
    </w:rPr>
  </w:style>
  <w:style w:type="paragraph" w:customStyle="1" w:styleId="61">
    <w:name w:val="列出段落2"/>
    <w:basedOn w:val="1"/>
    <w:qFormat/>
    <w:uiPriority w:val="99"/>
    <w:pPr>
      <w:widowControl w:val="0"/>
      <w:ind w:firstLine="420" w:firstLineChars="200"/>
      <w:jc w:val="both"/>
    </w:pPr>
    <w:rPr>
      <w:rFonts w:ascii="Calibri" w:hAnsi="Calibri" w:cs="Times New Roman"/>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13</Pages>
  <Words>4775</Words>
  <Characters>5244</Characters>
  <Lines>37</Lines>
  <Paragraphs>10</Paragraphs>
  <TotalTime>1</TotalTime>
  <ScaleCrop>false</ScaleCrop>
  <LinksUpToDate>false</LinksUpToDate>
  <CharactersWithSpaces>5277</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2022-04-11T01:07:00Z</dcterms:created>
  <dc:creator>dongjinchun</dc:creator>
  <cp:lastModifiedBy>高田</cp:lastModifiedBy>
  <cp:lastPrinted>2022-11-18T03:17:00Z</cp:lastPrinted>
  <dcterms:modified xsi:type="dcterms:W3CDTF">2023-09-28T00:47:46Z</dcterms:modified>
  <dc:title>2019新型冠状病毒技术审评要点</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F32BD6F993CB4EAAADE303F6A960A278_13</vt:lpwstr>
  </property>
</Properties>
</file>