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46B" w:rsidRPr="00D463EC" w:rsidRDefault="00CB546B" w:rsidP="00CB546B">
      <w:pPr>
        <w:spacing w:line="600" w:lineRule="exact"/>
        <w:jc w:val="left"/>
        <w:rPr>
          <w:rFonts w:eastAsia="黑体"/>
          <w:sz w:val="32"/>
          <w:szCs w:val="32"/>
        </w:rPr>
      </w:pPr>
      <w:r w:rsidRPr="00D463EC">
        <w:rPr>
          <w:rFonts w:eastAsia="黑体"/>
          <w:sz w:val="32"/>
          <w:szCs w:val="32"/>
        </w:rPr>
        <w:t>附件</w:t>
      </w:r>
      <w:r w:rsidRPr="00D463EC">
        <w:rPr>
          <w:rFonts w:eastAsia="黑体"/>
          <w:sz w:val="32"/>
          <w:szCs w:val="32"/>
        </w:rPr>
        <w:t>1</w:t>
      </w:r>
      <w:bookmarkStart w:id="0" w:name="OLE_LINK1"/>
    </w:p>
    <w:p w:rsidR="00CB546B" w:rsidRPr="00D463EC" w:rsidRDefault="00CB546B" w:rsidP="00CB546B">
      <w:pPr>
        <w:spacing w:line="600" w:lineRule="exact"/>
        <w:jc w:val="center"/>
        <w:rPr>
          <w:rFonts w:eastAsia="方正小标宋简体"/>
          <w:sz w:val="44"/>
          <w:szCs w:val="44"/>
        </w:rPr>
      </w:pPr>
    </w:p>
    <w:p w:rsidR="00CB546B" w:rsidRPr="00D463EC" w:rsidRDefault="00CB546B" w:rsidP="00CB546B">
      <w:pPr>
        <w:spacing w:line="600" w:lineRule="exact"/>
        <w:jc w:val="center"/>
        <w:rPr>
          <w:rFonts w:eastAsia="方正小标宋简体"/>
          <w:sz w:val="44"/>
          <w:szCs w:val="44"/>
        </w:rPr>
      </w:pPr>
      <w:r w:rsidRPr="00D463EC">
        <w:rPr>
          <w:rFonts w:eastAsia="方正小标宋简体"/>
          <w:sz w:val="44"/>
          <w:szCs w:val="44"/>
        </w:rPr>
        <w:t>癌症筛查体外诊断试剂临床评价</w:t>
      </w:r>
    </w:p>
    <w:p w:rsidR="00CB546B" w:rsidRPr="00D463EC" w:rsidRDefault="00CB546B" w:rsidP="00CB546B">
      <w:pPr>
        <w:spacing w:line="600" w:lineRule="exact"/>
        <w:jc w:val="center"/>
        <w:rPr>
          <w:rFonts w:eastAsia="方正小标宋简体"/>
          <w:sz w:val="44"/>
          <w:szCs w:val="44"/>
        </w:rPr>
      </w:pPr>
      <w:r w:rsidRPr="00D463EC">
        <w:rPr>
          <w:rFonts w:eastAsia="方正小标宋简体"/>
          <w:sz w:val="44"/>
          <w:szCs w:val="44"/>
        </w:rPr>
        <w:t>注册审查指导原则</w:t>
      </w:r>
      <w:bookmarkEnd w:id="0"/>
    </w:p>
    <w:p w:rsidR="00CB546B" w:rsidRPr="00D463EC" w:rsidRDefault="00CB546B" w:rsidP="00CB546B">
      <w:pPr>
        <w:spacing w:line="600" w:lineRule="exact"/>
        <w:contextualSpacing/>
        <w:rPr>
          <w:rFonts w:eastAsia="仿宋_GB2312"/>
          <w:sz w:val="32"/>
          <w:szCs w:val="32"/>
        </w:rPr>
      </w:pP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本指导原则旨在指导注册申请人对癌症筛查体外诊断试剂临床评价资料的准备及撰写，同时也为技术审评部门提供参考。</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本指导原则是对癌症筛查体外诊断试剂临床评价的一般要求，申请人应依据产品的具体特性确定其中内容是否适用，若不适用，需具体阐述理由及相应的科学依据，并依据产品的具体特性对注册申报资料的内容进行充实和细化。</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本指导原则是供注册申请人和技术审查人员使用的指导性文件，不包括审评审批所涉及的行政事项，亦不作为法规强制执行，应在遵循相关法规的前提下使用本指导原则。如果有能够满足相关法规要求的其他方法，也可以采用，但需要提供详细的研究资料和验证资料。</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本指导原则是在现行法规和标准体系以及当前认知水平下制定的，随着法规和标准的不断完善，以及科学技术的不断发展，相关内容也将适时进行调整。</w:t>
      </w:r>
    </w:p>
    <w:p w:rsidR="00CB546B" w:rsidRPr="00D463EC" w:rsidRDefault="00CB546B" w:rsidP="00D463EC">
      <w:pPr>
        <w:spacing w:line="480" w:lineRule="exact"/>
        <w:ind w:firstLineChars="200" w:firstLine="640"/>
        <w:contextualSpacing/>
        <w:rPr>
          <w:rFonts w:eastAsia="黑体"/>
          <w:sz w:val="32"/>
          <w:szCs w:val="32"/>
        </w:rPr>
      </w:pPr>
      <w:r w:rsidRPr="00D463EC">
        <w:rPr>
          <w:rFonts w:eastAsia="黑体"/>
          <w:sz w:val="32"/>
          <w:szCs w:val="32"/>
        </w:rPr>
        <w:t>一、适用范围</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癌症筛查一般针对现阶段死亡率高、疾病负担严重的癌症开展。相关癌症在早期阶段被诊断时，临床能够提供有效的治疗手段，患者在早期得到明确诊断较晚期得到诊断具有更好获益，有效的筛查手段可通过实现疾病早发现、早诊断、早治疗从而降低疾病死亡率，甚至发病率，改善疾病人群生存质量。</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本指导原则所述癌症筛查体外诊断试剂是指采用某种方法、原理，对来源于人的某种生物样本中特定的蛋白质、核酸等生物标志物进行体外定性</w:t>
      </w:r>
      <w:r w:rsidRPr="00D463EC">
        <w:rPr>
          <w:rFonts w:eastAsia="仿宋_GB2312"/>
          <w:sz w:val="32"/>
          <w:szCs w:val="32"/>
        </w:rPr>
        <w:t>/</w:t>
      </w:r>
      <w:r w:rsidRPr="00D463EC">
        <w:rPr>
          <w:rFonts w:eastAsia="仿宋_GB2312"/>
          <w:sz w:val="32"/>
          <w:szCs w:val="32"/>
        </w:rPr>
        <w:t>定量检测，从而单独或与其他检查结果（如影像学检查）联合对于无症状受试者是否罹患相关癌症和</w:t>
      </w:r>
      <w:r w:rsidRPr="00D463EC">
        <w:rPr>
          <w:rFonts w:eastAsia="仿宋_GB2312"/>
          <w:sz w:val="32"/>
          <w:szCs w:val="32"/>
        </w:rPr>
        <w:t>/</w:t>
      </w:r>
      <w:r w:rsidRPr="00D463EC">
        <w:rPr>
          <w:rFonts w:eastAsia="仿宋_GB2312"/>
          <w:sz w:val="32"/>
          <w:szCs w:val="32"/>
        </w:rPr>
        <w:t>或癌前病变进行评估的体外诊断试剂。目的是实现相关癌症的早期诊断和早期治疗。筛查检测结果为阳性的受试者做进一步的诊断，确诊患者接受治疗，其他受试者进入随访和下一轮筛查。</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应根据癌症特点确定相关风险因素，结合被测生物标志物特性以及产品临床性能水平等，明确筛查试剂的适用人群。癌症风险因素的确定应充分参考诊疗指南、诊疗规范、筛查指南等权威文献的建议。</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本指导原则适用于进行体外诊断试剂产品注册申请和变更注册申请的产品，重点针对临床评价资料的准备及撰写明确要求。</w:t>
      </w:r>
    </w:p>
    <w:p w:rsidR="00CB546B" w:rsidRPr="00D463EC" w:rsidRDefault="00CB546B" w:rsidP="00D463EC">
      <w:pPr>
        <w:spacing w:line="480" w:lineRule="exact"/>
        <w:ind w:firstLineChars="200" w:firstLine="640"/>
        <w:contextualSpacing/>
        <w:rPr>
          <w:rFonts w:eastAsia="黑体"/>
          <w:sz w:val="32"/>
          <w:szCs w:val="32"/>
        </w:rPr>
      </w:pPr>
      <w:r w:rsidRPr="00D463EC">
        <w:rPr>
          <w:rFonts w:eastAsia="黑体"/>
          <w:sz w:val="32"/>
          <w:szCs w:val="32"/>
        </w:rPr>
        <w:t>二、注册审查要点</w:t>
      </w:r>
    </w:p>
    <w:p w:rsidR="00CB546B" w:rsidRPr="00D463EC" w:rsidRDefault="00CB546B" w:rsidP="00D463EC">
      <w:pPr>
        <w:spacing w:line="480" w:lineRule="exact"/>
        <w:ind w:firstLineChars="200" w:firstLine="640"/>
        <w:contextualSpacing/>
        <w:rPr>
          <w:rFonts w:eastAsia="楷体_GB2312"/>
          <w:sz w:val="32"/>
          <w:szCs w:val="32"/>
        </w:rPr>
      </w:pPr>
      <w:r w:rsidRPr="00D463EC">
        <w:rPr>
          <w:rFonts w:eastAsia="楷体_GB2312"/>
          <w:sz w:val="32"/>
          <w:szCs w:val="32"/>
        </w:rPr>
        <w:t>（一）筛查癌种的选择</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在人群中开展筛查的癌症一般应具有以下特点：</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1.</w:t>
      </w:r>
      <w:r w:rsidRPr="00D463EC">
        <w:rPr>
          <w:rFonts w:eastAsia="仿宋_GB2312"/>
          <w:sz w:val="32"/>
          <w:szCs w:val="32"/>
        </w:rPr>
        <w:t>具有较高的死亡率，对人群健康和生命造成严重危害，是目标人群现阶段重要公共卫生问题；</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2.</w:t>
      </w:r>
      <w:r w:rsidRPr="00D463EC">
        <w:rPr>
          <w:rFonts w:eastAsia="仿宋_GB2312"/>
          <w:sz w:val="32"/>
          <w:szCs w:val="32"/>
        </w:rPr>
        <w:t>有早期诊断的方法；</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3.</w:t>
      </w:r>
      <w:r w:rsidRPr="00D463EC">
        <w:rPr>
          <w:rFonts w:eastAsia="仿宋_GB2312"/>
          <w:sz w:val="32"/>
          <w:szCs w:val="32"/>
        </w:rPr>
        <w:t>对疾病不同阶段的干预效果及其不良反应有清楚的认识；</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4.</w:t>
      </w:r>
      <w:r w:rsidRPr="00D463EC">
        <w:rPr>
          <w:rFonts w:eastAsia="仿宋_GB2312"/>
          <w:sz w:val="32"/>
          <w:szCs w:val="32"/>
        </w:rPr>
        <w:t>不同阶段癌症均有行之有效的干预方案，且早期治疗效果优于晚期治疗，早期干预能显著降低死亡率。</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申请人在开展癌症筛查体外诊断试剂设计开发时应以临床需求为导向，结合相关癌症流行病学特征、自然史、人群风险获益分析等因素充分考虑筛查的适宜性，应针对产品预期筛查癌种的选择提供充分的支持资料。相关支持证据应基于中国人群数据和中国人群疾病特征。</w:t>
      </w:r>
    </w:p>
    <w:p w:rsidR="00CB546B" w:rsidRPr="00D463EC" w:rsidRDefault="00CB546B" w:rsidP="00D463EC">
      <w:pPr>
        <w:spacing w:line="480" w:lineRule="exact"/>
        <w:ind w:firstLineChars="200" w:firstLine="640"/>
        <w:contextualSpacing/>
        <w:rPr>
          <w:rFonts w:eastAsia="仿宋_GB2312"/>
          <w:color w:val="0000FF"/>
          <w:sz w:val="32"/>
          <w:szCs w:val="32"/>
        </w:rPr>
      </w:pPr>
      <w:r w:rsidRPr="00D463EC">
        <w:rPr>
          <w:rFonts w:eastAsia="仿宋_GB2312"/>
          <w:sz w:val="32"/>
          <w:szCs w:val="32"/>
        </w:rPr>
        <w:t>在筛查癌种的选择上可以充分借鉴国内外已有研究成果，同时结合我国人群发病特征，选择有循证医学证据的、有共识的、预期具有明确获益的癌种优先进行筛查的探索。</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目前世界卫生组织（</w:t>
      </w:r>
      <w:r w:rsidRPr="00D463EC">
        <w:rPr>
          <w:rFonts w:eastAsia="仿宋_GB2312"/>
          <w:sz w:val="32"/>
          <w:szCs w:val="32"/>
        </w:rPr>
        <w:t>World Health Organization</w:t>
      </w:r>
      <w:r w:rsidRPr="00D463EC">
        <w:rPr>
          <w:rFonts w:eastAsia="仿宋_GB2312"/>
          <w:sz w:val="32"/>
          <w:szCs w:val="32"/>
        </w:rPr>
        <w:t>，</w:t>
      </w:r>
      <w:r w:rsidRPr="00D463EC">
        <w:rPr>
          <w:rFonts w:eastAsia="仿宋_GB2312"/>
          <w:sz w:val="32"/>
          <w:szCs w:val="32"/>
        </w:rPr>
        <w:t>WHO</w:t>
      </w:r>
      <w:r w:rsidRPr="00D463EC">
        <w:rPr>
          <w:rFonts w:eastAsia="仿宋_GB2312"/>
          <w:sz w:val="32"/>
          <w:szCs w:val="32"/>
        </w:rPr>
        <w:t>）推荐的、已确认具有显著获益的癌症筛查包括适龄人群的结直肠癌、宫颈癌和乳腺癌筛查。在此基础上，各个国家根据自身国情对筛查癌种有所拓展，筛查癌种的选择与不同国家的癌症疾病负担和医疗资源可及性等因素直接相关。</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我国现有研究数据和实践支持在宫颈癌、结直肠癌、乳腺癌筛查的基础上，增加开展高风险人群的肺癌、食管癌、肝癌、胃癌、鼻咽癌等的筛查。</w:t>
      </w:r>
    </w:p>
    <w:p w:rsidR="00CB546B" w:rsidRPr="00D463EC" w:rsidRDefault="00CB546B" w:rsidP="00D463EC">
      <w:pPr>
        <w:spacing w:line="480" w:lineRule="exact"/>
        <w:ind w:firstLineChars="200" w:firstLine="640"/>
        <w:contextualSpacing/>
        <w:rPr>
          <w:rFonts w:eastAsia="楷体_GB2312"/>
          <w:sz w:val="32"/>
          <w:szCs w:val="32"/>
        </w:rPr>
      </w:pPr>
      <w:r w:rsidRPr="00D463EC">
        <w:rPr>
          <w:rFonts w:eastAsia="楷体_GB2312"/>
          <w:sz w:val="32"/>
          <w:szCs w:val="32"/>
        </w:rPr>
        <w:t>（二）临床评价要求</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癌症筛查体外诊断试剂应选择临床试验路径进行临床评价。</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 xml:space="preserve">1. </w:t>
      </w:r>
      <w:r w:rsidRPr="00D463EC">
        <w:rPr>
          <w:rFonts w:eastAsia="仿宋_GB2312"/>
          <w:sz w:val="32"/>
          <w:szCs w:val="32"/>
        </w:rPr>
        <w:t>对于已有公认筛查方法的癌症</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这里所述</w:t>
      </w:r>
      <w:r w:rsidRPr="00D463EC">
        <w:rPr>
          <w:rFonts w:eastAsia="仿宋_GB2312"/>
          <w:sz w:val="32"/>
          <w:szCs w:val="32"/>
        </w:rPr>
        <w:t>“</w:t>
      </w:r>
      <w:r w:rsidRPr="00D463EC">
        <w:rPr>
          <w:rFonts w:eastAsia="仿宋_GB2312"/>
          <w:sz w:val="32"/>
          <w:szCs w:val="32"/>
        </w:rPr>
        <w:t>已有公认筛查方法的癌症</w:t>
      </w:r>
      <w:r w:rsidRPr="00D463EC">
        <w:rPr>
          <w:rFonts w:eastAsia="仿宋_GB2312"/>
          <w:sz w:val="32"/>
          <w:szCs w:val="32"/>
        </w:rPr>
        <w:t>”</w:t>
      </w:r>
      <w:r w:rsidRPr="00D463EC">
        <w:rPr>
          <w:rFonts w:eastAsia="仿宋_GB2312"/>
          <w:sz w:val="32"/>
          <w:szCs w:val="32"/>
        </w:rPr>
        <w:t>指的是目标筛查的癌症已在我国具有公认的人群筛查策略和路径的情形，例如国家卫生健康委、国家癌症中心等国内权威机构已发布相关癌症筛查指南，癌症筛查的人群获益有充分的循证医学证据，证据级别和强度比较高，并得到临床广泛认可。</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如申报产品适用的目标癌症为</w:t>
      </w:r>
      <w:r w:rsidRPr="00D463EC">
        <w:rPr>
          <w:rFonts w:eastAsia="仿宋_GB2312"/>
          <w:sz w:val="32"/>
          <w:szCs w:val="32"/>
        </w:rPr>
        <w:t>“</w:t>
      </w:r>
      <w:r w:rsidRPr="00D463EC">
        <w:rPr>
          <w:rFonts w:eastAsia="仿宋_GB2312"/>
          <w:sz w:val="32"/>
          <w:szCs w:val="32"/>
        </w:rPr>
        <w:t>已有公认筛查方法的癌症</w:t>
      </w:r>
      <w:r w:rsidRPr="00D463EC">
        <w:rPr>
          <w:rFonts w:eastAsia="仿宋_GB2312"/>
          <w:sz w:val="32"/>
          <w:szCs w:val="32"/>
        </w:rPr>
        <w:t>”</w:t>
      </w:r>
      <w:r w:rsidRPr="00D463EC">
        <w:rPr>
          <w:rFonts w:eastAsia="仿宋_GB2312"/>
          <w:sz w:val="32"/>
          <w:szCs w:val="32"/>
        </w:rPr>
        <w:t>，且目标筛查人群与筛查指南推荐人群一致，检测阳性结果有适当的、可及时开展的疾病诊断方法以及适宜的干预措施，则申请人可通过下述方法开展临床试验证明产品临床性能满足需求。</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临床试验开展时，应结合筛查癌症的人群分布特征（如患病率等），保证入组人群对筛查目标人群总体具有良好的代表性；应选择不少于</w:t>
      </w:r>
      <w:r w:rsidRPr="00D463EC">
        <w:rPr>
          <w:rFonts w:eastAsia="仿宋_GB2312"/>
          <w:sz w:val="32"/>
          <w:szCs w:val="32"/>
        </w:rPr>
        <w:t>3</w:t>
      </w:r>
      <w:r w:rsidRPr="00D463EC">
        <w:rPr>
          <w:rFonts w:eastAsia="仿宋_GB2312"/>
          <w:sz w:val="32"/>
          <w:szCs w:val="32"/>
        </w:rPr>
        <w:t>家（含</w:t>
      </w:r>
      <w:r w:rsidRPr="00D463EC">
        <w:rPr>
          <w:rFonts w:eastAsia="仿宋_GB2312"/>
          <w:sz w:val="32"/>
          <w:szCs w:val="32"/>
        </w:rPr>
        <w:t>3</w:t>
      </w:r>
      <w:r w:rsidRPr="00D463EC">
        <w:rPr>
          <w:rFonts w:eastAsia="仿宋_GB2312"/>
          <w:sz w:val="32"/>
          <w:szCs w:val="32"/>
        </w:rPr>
        <w:t>家）符合法规要求的临床试验机构开展多中心临床试验。</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 xml:space="preserve">1.1 </w:t>
      </w:r>
      <w:r w:rsidRPr="00D463EC">
        <w:rPr>
          <w:rFonts w:eastAsia="仿宋_GB2312"/>
          <w:sz w:val="32"/>
          <w:szCs w:val="32"/>
        </w:rPr>
        <w:t>筛查性能评价</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1.1.1</w:t>
      </w:r>
      <w:r w:rsidRPr="00D463EC">
        <w:rPr>
          <w:rFonts w:eastAsia="仿宋_GB2312"/>
          <w:sz w:val="32"/>
          <w:szCs w:val="32"/>
        </w:rPr>
        <w:t>受试者入组</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癌症筛查的临床试验应在预期适用的目标人群中按照临床试验方案设定的入组标准前瞻性入组受试者。</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入组人群应具有良好的目标人群代表性，包括人群基本特征和目标癌症相关高风险因素的分布等方面。</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如适用人群为目标癌症高风险人群，应提供高风险人群判定依据，建议与临床筛查指南等权威文献中确认的高风险人群定义一致。</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为了保证入组受试者代表性和临床试验可操作性，可委托社区卫生服务机构、乡（镇）卫生院、基层疾病预防控制机构等进行受试者招募，注意应由临床试验机构进行委托，临床试验机构应对临床试验整体质量控制、临床试验数据的真实性与合规性负责；临床试验中的检测分析（包括试验体外诊断试剂检测、对比方法或临床参考标准涉及的检测等）、数据管理及统计分析应由临床试验机构完成；受试者招募、知情同意书签署、样本采集等基础操作过程可由社区卫生服务机构等完成；有关任务分工等应在临床试验方案中明确</w:t>
      </w:r>
      <w:r w:rsidRPr="00D463EC">
        <w:rPr>
          <w:rFonts w:eastAsia="仿宋_GB2312"/>
          <w:sz w:val="32"/>
          <w:szCs w:val="32"/>
        </w:rPr>
        <w:t>,</w:t>
      </w:r>
      <w:r w:rsidRPr="00D463EC">
        <w:rPr>
          <w:rFonts w:eastAsia="仿宋_GB2312"/>
          <w:sz w:val="32"/>
          <w:szCs w:val="32"/>
        </w:rPr>
        <w:t>由审查该临床试验的伦理委员会审查批准；临床试验机构应建立相关管理制度，明确各方职责，加强培训和管理，确保临床试验结果真实、准确、完整和可追溯。</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1.1.2</w:t>
      </w:r>
      <w:r w:rsidRPr="00D463EC">
        <w:rPr>
          <w:rFonts w:eastAsia="仿宋_GB2312"/>
          <w:sz w:val="32"/>
          <w:szCs w:val="32"/>
        </w:rPr>
        <w:t>临床试验方法</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针对所有入组受试者应按照方案要求采集样本，采用试验体外诊断试剂进行检测，所有受试者按照疾病诊疗指南、规范中推荐的临床诊断方法（即临床参考标准）获得诊断结论，或进行随访，直到确认与目标癌症相关的受试者目标状态。随访时间的设定可根据前期研究结果，结合目标癌症疾病进程特点等因素综合考虑。</w:t>
      </w:r>
    </w:p>
    <w:p w:rsidR="00CB546B" w:rsidRPr="00D463EC" w:rsidRDefault="00CB546B" w:rsidP="00D463EC">
      <w:pPr>
        <w:spacing w:line="480" w:lineRule="exact"/>
        <w:ind w:firstLineChars="200" w:firstLine="640"/>
        <w:contextualSpacing/>
        <w:rPr>
          <w:rFonts w:eastAsia="仿宋_GB2312"/>
          <w:sz w:val="24"/>
        </w:rPr>
      </w:pPr>
      <w:r w:rsidRPr="00D463EC">
        <w:rPr>
          <w:rFonts w:eastAsia="仿宋_GB2312"/>
          <w:sz w:val="32"/>
          <w:szCs w:val="32"/>
        </w:rPr>
        <w:t>将试验体外诊断试剂的检测结果与相关癌症的临床诊断结论或随访结论进行对比，获得该试剂对于目标人群特定癌症筛查的灵敏度、特异度、似然比、阳性预测值（</w:t>
      </w:r>
      <w:r w:rsidRPr="00D463EC">
        <w:rPr>
          <w:rFonts w:eastAsia="仿宋_GB2312"/>
          <w:sz w:val="32"/>
          <w:szCs w:val="32"/>
        </w:rPr>
        <w:t>PPV</w:t>
      </w:r>
      <w:r w:rsidRPr="00D463EC">
        <w:rPr>
          <w:rFonts w:eastAsia="仿宋_GB2312"/>
          <w:sz w:val="32"/>
          <w:szCs w:val="32"/>
        </w:rPr>
        <w:t>）和阴性预测值（</w:t>
      </w:r>
      <w:r w:rsidRPr="00D463EC">
        <w:rPr>
          <w:rFonts w:eastAsia="仿宋_GB2312"/>
          <w:sz w:val="32"/>
          <w:szCs w:val="32"/>
        </w:rPr>
        <w:t>NPV</w:t>
      </w:r>
      <w:r w:rsidRPr="00D463EC">
        <w:rPr>
          <w:rFonts w:eastAsia="仿宋_GB2312"/>
          <w:sz w:val="32"/>
          <w:szCs w:val="32"/>
        </w:rPr>
        <w:t>）等指标。</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如按照现行的筛查指南推荐，有其他筛查方法（以下称</w:t>
      </w:r>
      <w:r w:rsidRPr="00D463EC">
        <w:rPr>
          <w:rFonts w:eastAsia="仿宋_GB2312"/>
          <w:sz w:val="32"/>
          <w:szCs w:val="32"/>
        </w:rPr>
        <w:t>“</w:t>
      </w:r>
      <w:r w:rsidRPr="00D463EC">
        <w:rPr>
          <w:rFonts w:eastAsia="仿宋_GB2312"/>
          <w:sz w:val="32"/>
          <w:szCs w:val="32"/>
        </w:rPr>
        <w:t>对比筛查方法</w:t>
      </w:r>
      <w:r w:rsidRPr="00D463EC">
        <w:rPr>
          <w:rFonts w:eastAsia="仿宋_GB2312"/>
          <w:sz w:val="32"/>
          <w:szCs w:val="32"/>
        </w:rPr>
        <w:t>”</w:t>
      </w:r>
      <w:r w:rsidRPr="00D463EC">
        <w:rPr>
          <w:rFonts w:eastAsia="仿宋_GB2312"/>
          <w:sz w:val="32"/>
          <w:szCs w:val="32"/>
        </w:rPr>
        <w:t>）与试验体外诊断试剂的应用场景具有较好的可比性，建议在上述临床试验中同步采用对比筛查方法进行筛查，并将两种筛查方法的临床性能指标进行比较。例如结直肠癌筛查体外诊断试剂建议同步进行便潜血筛查性能的对比。</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如因为某些原因无法同步完成对比筛查方法的检测</w:t>
      </w:r>
      <w:r w:rsidRPr="00D463EC">
        <w:rPr>
          <w:rFonts w:eastAsia="仿宋_GB2312"/>
          <w:sz w:val="32"/>
          <w:szCs w:val="32"/>
        </w:rPr>
        <w:t>/</w:t>
      </w:r>
      <w:r w:rsidRPr="00D463EC">
        <w:rPr>
          <w:rFonts w:eastAsia="仿宋_GB2312"/>
          <w:sz w:val="32"/>
          <w:szCs w:val="32"/>
        </w:rPr>
        <w:t>检查，可考虑采用历史数据来评估对比筛查方法的临床性能。建议提供合理的理由和依据，并对历史数据研究入组人群代表性以及与本次临床试验人群特征的一致性进行分析，对采用历史数据可能带来的偏倚进行系统分析和评估，提供充分的支持资料以保障数据解释的科学性与可信度。</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1.1.3</w:t>
      </w:r>
      <w:r w:rsidRPr="00D463EC">
        <w:rPr>
          <w:rFonts w:eastAsia="仿宋_GB2312"/>
          <w:sz w:val="32"/>
          <w:szCs w:val="32"/>
        </w:rPr>
        <w:t>样本量</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癌症筛查临床试验样本量估算可根据产品预期临床灵敏度和特异度，采用适当的方法分别估算疾病阳性和阴性最低样本例数，根据相关癌症在人群中的患病率估算总样本例数（以最高估算例数为准）。同时考虑可能的受试者脱落比例，确定需要入组的受试者最低总例数。</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1.1.4</w:t>
      </w:r>
      <w:r w:rsidRPr="00D463EC">
        <w:rPr>
          <w:rFonts w:eastAsia="仿宋_GB2312"/>
          <w:sz w:val="32"/>
          <w:szCs w:val="32"/>
        </w:rPr>
        <w:t>评价指标和统计学分析</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首先应对入组人群基线信息进行分析，包括人口学信息，风险因素分布等；其次建议采用流程图的形式说明入组人群、脱落人群、纳入统计人群的情况，并对所有脱落病例进行分析，解释脱落原因和脱落率可接受的理由；同时应对临床试验过程中的偏倚控制进行分析，包括受试者选择偏倚、数据脱落带来的偏倚等；最后对筛查试验的各项关键性能指标和筛查安全性进行如下分析。</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筛查性能指标主要包括灵敏度、特异度、似然比、</w:t>
      </w:r>
      <w:r w:rsidRPr="00D463EC">
        <w:rPr>
          <w:rFonts w:eastAsia="仿宋_GB2312"/>
          <w:sz w:val="32"/>
          <w:szCs w:val="32"/>
        </w:rPr>
        <w:t>PPV</w:t>
      </w:r>
      <w:r w:rsidRPr="00D463EC">
        <w:rPr>
          <w:rFonts w:eastAsia="仿宋_GB2312"/>
          <w:sz w:val="32"/>
          <w:szCs w:val="32"/>
        </w:rPr>
        <w:t>、</w:t>
      </w:r>
      <w:r w:rsidRPr="00D463EC">
        <w:rPr>
          <w:rFonts w:eastAsia="仿宋_GB2312"/>
          <w:sz w:val="32"/>
          <w:szCs w:val="32"/>
        </w:rPr>
        <w:t>NPV</w:t>
      </w:r>
      <w:r w:rsidRPr="00D463EC">
        <w:rPr>
          <w:rFonts w:eastAsia="仿宋_GB2312"/>
          <w:sz w:val="32"/>
          <w:szCs w:val="32"/>
        </w:rPr>
        <w:t>等。其中灵敏度和特异度直接反映了该方法针对疾病的检测性能，</w:t>
      </w:r>
      <w:r w:rsidRPr="00D463EC">
        <w:rPr>
          <w:rFonts w:eastAsia="仿宋_GB2312"/>
          <w:sz w:val="32"/>
          <w:szCs w:val="32"/>
        </w:rPr>
        <w:t>PPV</w:t>
      </w:r>
      <w:r w:rsidRPr="00D463EC">
        <w:rPr>
          <w:rFonts w:eastAsia="仿宋_GB2312"/>
          <w:sz w:val="32"/>
          <w:szCs w:val="32"/>
        </w:rPr>
        <w:t>表明筛查阳性人群中癌症患者的比例，与医生对患者罹患癌症风险的判断直接相关，</w:t>
      </w:r>
      <w:r w:rsidRPr="00D463EC">
        <w:rPr>
          <w:rFonts w:eastAsia="仿宋_GB2312"/>
          <w:sz w:val="32"/>
          <w:szCs w:val="32"/>
        </w:rPr>
        <w:t>NPV</w:t>
      </w:r>
      <w:r w:rsidRPr="00D463EC">
        <w:rPr>
          <w:rFonts w:eastAsia="仿宋_GB2312"/>
          <w:sz w:val="32"/>
          <w:szCs w:val="32"/>
        </w:rPr>
        <w:t>表明筛查阴性人群中非癌症患者的比例。</w:t>
      </w:r>
      <w:r w:rsidRPr="00D463EC">
        <w:rPr>
          <w:rFonts w:eastAsia="仿宋_GB2312"/>
          <w:sz w:val="32"/>
          <w:szCs w:val="32"/>
        </w:rPr>
        <w:t>PPV</w:t>
      </w:r>
      <w:r w:rsidRPr="00D463EC">
        <w:rPr>
          <w:rFonts w:eastAsia="仿宋_GB2312"/>
          <w:sz w:val="32"/>
          <w:szCs w:val="32"/>
        </w:rPr>
        <w:t>和</w:t>
      </w:r>
      <w:r w:rsidRPr="00D463EC">
        <w:rPr>
          <w:rFonts w:eastAsia="仿宋_GB2312"/>
          <w:sz w:val="32"/>
          <w:szCs w:val="32"/>
        </w:rPr>
        <w:t>NPV</w:t>
      </w:r>
      <w:r w:rsidRPr="00D463EC">
        <w:rPr>
          <w:rFonts w:eastAsia="仿宋_GB2312"/>
          <w:sz w:val="32"/>
          <w:szCs w:val="32"/>
        </w:rPr>
        <w:t>受目标人群的癌症患病率、筛查技术的灵敏度、特异度的影响，需要结合筛查目标人群进行具体分析和解读。如果筛查方法还可检出癌前病变，则应分别评价针对癌前病变和癌症的临床灵敏度。</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各项指标的计算方法见下表。</w:t>
      </w:r>
    </w:p>
    <w:p w:rsidR="00CB546B" w:rsidRPr="00D463EC" w:rsidRDefault="00CB546B" w:rsidP="00D463EC">
      <w:pPr>
        <w:spacing w:line="520" w:lineRule="exact"/>
        <w:contextualSpacing/>
        <w:rPr>
          <w:rFonts w:eastAsia="仿宋_GB2312"/>
          <w:sz w:val="32"/>
          <w:szCs w:val="32"/>
        </w:rPr>
      </w:pPr>
    </w:p>
    <w:p w:rsidR="00CB546B" w:rsidRPr="00D463EC" w:rsidRDefault="00CB546B" w:rsidP="00CB546B">
      <w:pPr>
        <w:contextualSpacing/>
        <w:jc w:val="center"/>
        <w:rPr>
          <w:rFonts w:eastAsia="方正小标宋简体"/>
          <w:sz w:val="28"/>
          <w:szCs w:val="28"/>
        </w:rPr>
      </w:pPr>
      <w:r w:rsidRPr="00D463EC">
        <w:rPr>
          <w:rFonts w:eastAsia="方正小标宋简体"/>
          <w:sz w:val="28"/>
          <w:szCs w:val="28"/>
        </w:rPr>
        <w:t>表</w:t>
      </w:r>
      <w:r w:rsidRPr="00D463EC">
        <w:rPr>
          <w:rFonts w:eastAsia="方正小标宋简体"/>
          <w:sz w:val="28"/>
          <w:szCs w:val="28"/>
        </w:rPr>
        <w:t xml:space="preserve"> </w:t>
      </w:r>
      <w:r w:rsidRPr="00D463EC">
        <w:rPr>
          <w:rFonts w:eastAsia="方正小标宋简体"/>
          <w:sz w:val="28"/>
          <w:szCs w:val="28"/>
        </w:rPr>
        <w:t>筛查试验性能指标</w:t>
      </w:r>
    </w:p>
    <w:tbl>
      <w:tblPr>
        <w:tblW w:w="7862" w:type="dxa"/>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2202"/>
        <w:gridCol w:w="2028"/>
        <w:gridCol w:w="2188"/>
        <w:gridCol w:w="1444"/>
      </w:tblGrid>
      <w:tr w:rsidR="00CB546B" w:rsidRPr="00D463EC" w:rsidTr="002C52F7">
        <w:trPr>
          <w:jc w:val="center"/>
        </w:trPr>
        <w:tc>
          <w:tcPr>
            <w:tcW w:w="2202" w:type="dxa"/>
            <w:vMerge w:val="restart"/>
            <w:tcBorders>
              <w:right w:val="single" w:sz="4" w:space="0" w:color="auto"/>
            </w:tcBorders>
          </w:tcPr>
          <w:p w:rsidR="00CB546B" w:rsidRPr="00D463EC" w:rsidRDefault="00CB546B" w:rsidP="002C52F7">
            <w:pPr>
              <w:autoSpaceDE w:val="0"/>
              <w:autoSpaceDN w:val="0"/>
              <w:adjustRightInd w:val="0"/>
              <w:spacing w:line="440" w:lineRule="exact"/>
              <w:jc w:val="center"/>
              <w:rPr>
                <w:rFonts w:eastAsia="仿宋_GB2312"/>
                <w:kern w:val="0"/>
                <w:sz w:val="24"/>
              </w:rPr>
            </w:pPr>
            <w:r w:rsidRPr="00D463EC">
              <w:rPr>
                <w:rFonts w:eastAsia="仿宋_GB2312"/>
                <w:kern w:val="0"/>
                <w:sz w:val="24"/>
              </w:rPr>
              <w:t>试验体外诊断试剂检测结果</w:t>
            </w:r>
          </w:p>
        </w:tc>
        <w:tc>
          <w:tcPr>
            <w:tcW w:w="4216" w:type="dxa"/>
            <w:gridSpan w:val="2"/>
            <w:tcBorders>
              <w:left w:val="single" w:sz="4" w:space="0" w:color="auto"/>
            </w:tcBorders>
          </w:tcPr>
          <w:p w:rsidR="00CB546B" w:rsidRPr="00D463EC" w:rsidRDefault="00CB546B" w:rsidP="002C52F7">
            <w:pPr>
              <w:autoSpaceDE w:val="0"/>
              <w:autoSpaceDN w:val="0"/>
              <w:adjustRightInd w:val="0"/>
              <w:spacing w:line="440" w:lineRule="exact"/>
              <w:ind w:firstLine="198"/>
              <w:jc w:val="center"/>
              <w:rPr>
                <w:rFonts w:eastAsia="仿宋_GB2312"/>
                <w:kern w:val="0"/>
                <w:sz w:val="24"/>
              </w:rPr>
            </w:pPr>
            <w:r w:rsidRPr="00D463EC">
              <w:rPr>
                <w:rFonts w:eastAsia="仿宋_GB2312"/>
                <w:kern w:val="0"/>
                <w:sz w:val="24"/>
              </w:rPr>
              <w:t>临床参考标准</w:t>
            </w:r>
          </w:p>
        </w:tc>
        <w:tc>
          <w:tcPr>
            <w:tcW w:w="1444" w:type="dxa"/>
            <w:vMerge w:val="restart"/>
          </w:tcPr>
          <w:p w:rsidR="00CB546B" w:rsidRPr="00D463EC" w:rsidRDefault="00CB546B" w:rsidP="002C52F7">
            <w:pPr>
              <w:autoSpaceDE w:val="0"/>
              <w:autoSpaceDN w:val="0"/>
              <w:adjustRightInd w:val="0"/>
              <w:spacing w:line="440" w:lineRule="exact"/>
              <w:ind w:firstLine="198"/>
              <w:rPr>
                <w:rFonts w:eastAsia="仿宋_GB2312"/>
                <w:kern w:val="0"/>
                <w:sz w:val="24"/>
              </w:rPr>
            </w:pPr>
            <w:r w:rsidRPr="00D463EC">
              <w:rPr>
                <w:rFonts w:eastAsia="仿宋_GB2312"/>
                <w:kern w:val="0"/>
                <w:sz w:val="24"/>
              </w:rPr>
              <w:t>合计</w:t>
            </w:r>
          </w:p>
        </w:tc>
      </w:tr>
      <w:tr w:rsidR="00CB546B" w:rsidRPr="00D463EC" w:rsidTr="002C52F7">
        <w:trPr>
          <w:jc w:val="center"/>
        </w:trPr>
        <w:tc>
          <w:tcPr>
            <w:tcW w:w="2202" w:type="dxa"/>
            <w:vMerge/>
            <w:tcBorders>
              <w:right w:val="single" w:sz="4" w:space="0" w:color="auto"/>
            </w:tcBorders>
          </w:tcPr>
          <w:p w:rsidR="00CB546B" w:rsidRPr="00D463EC" w:rsidRDefault="00CB546B" w:rsidP="002C52F7">
            <w:pPr>
              <w:autoSpaceDE w:val="0"/>
              <w:autoSpaceDN w:val="0"/>
              <w:adjustRightInd w:val="0"/>
              <w:spacing w:line="440" w:lineRule="exact"/>
              <w:ind w:firstLine="198"/>
              <w:rPr>
                <w:rFonts w:eastAsia="仿宋_GB2312"/>
                <w:kern w:val="0"/>
                <w:sz w:val="24"/>
              </w:rPr>
            </w:pPr>
          </w:p>
        </w:tc>
        <w:tc>
          <w:tcPr>
            <w:tcW w:w="2028" w:type="dxa"/>
            <w:tcBorders>
              <w:left w:val="single" w:sz="4" w:space="0" w:color="auto"/>
            </w:tcBorders>
            <w:vAlign w:val="center"/>
          </w:tcPr>
          <w:p w:rsidR="00CB546B" w:rsidRPr="00D463EC" w:rsidRDefault="00CB546B" w:rsidP="002C52F7">
            <w:pPr>
              <w:autoSpaceDE w:val="0"/>
              <w:autoSpaceDN w:val="0"/>
              <w:adjustRightInd w:val="0"/>
              <w:spacing w:line="440" w:lineRule="exact"/>
              <w:jc w:val="center"/>
              <w:rPr>
                <w:rFonts w:eastAsia="仿宋_GB2312"/>
                <w:kern w:val="0"/>
                <w:sz w:val="24"/>
              </w:rPr>
            </w:pPr>
            <w:r w:rsidRPr="00D463EC">
              <w:rPr>
                <w:rFonts w:eastAsia="仿宋_GB2312"/>
                <w:kern w:val="0"/>
                <w:sz w:val="24"/>
              </w:rPr>
              <w:t>有目标癌症</w:t>
            </w:r>
          </w:p>
        </w:tc>
        <w:tc>
          <w:tcPr>
            <w:tcW w:w="2188" w:type="dxa"/>
            <w:vAlign w:val="center"/>
          </w:tcPr>
          <w:p w:rsidR="00CB546B" w:rsidRPr="00D463EC" w:rsidRDefault="00CB546B" w:rsidP="002C52F7">
            <w:pPr>
              <w:autoSpaceDE w:val="0"/>
              <w:autoSpaceDN w:val="0"/>
              <w:adjustRightInd w:val="0"/>
              <w:spacing w:line="440" w:lineRule="exact"/>
              <w:jc w:val="center"/>
              <w:rPr>
                <w:rFonts w:eastAsia="仿宋_GB2312"/>
                <w:kern w:val="0"/>
                <w:sz w:val="24"/>
              </w:rPr>
            </w:pPr>
            <w:r w:rsidRPr="00D463EC">
              <w:rPr>
                <w:rFonts w:eastAsia="仿宋_GB2312"/>
                <w:kern w:val="0"/>
                <w:sz w:val="24"/>
              </w:rPr>
              <w:t>无目标癌症</w:t>
            </w:r>
          </w:p>
        </w:tc>
        <w:tc>
          <w:tcPr>
            <w:tcW w:w="1444" w:type="dxa"/>
            <w:vMerge/>
          </w:tcPr>
          <w:p w:rsidR="00CB546B" w:rsidRPr="00D463EC" w:rsidRDefault="00CB546B" w:rsidP="002C52F7">
            <w:pPr>
              <w:autoSpaceDE w:val="0"/>
              <w:autoSpaceDN w:val="0"/>
              <w:adjustRightInd w:val="0"/>
              <w:spacing w:line="440" w:lineRule="exact"/>
              <w:ind w:firstLine="198"/>
              <w:rPr>
                <w:rFonts w:eastAsia="仿宋_GB2312"/>
                <w:kern w:val="0"/>
                <w:sz w:val="24"/>
              </w:rPr>
            </w:pPr>
          </w:p>
        </w:tc>
      </w:tr>
      <w:tr w:rsidR="00CB546B" w:rsidRPr="00D463EC" w:rsidTr="002C52F7">
        <w:trPr>
          <w:trHeight w:val="624"/>
          <w:jc w:val="center"/>
        </w:trPr>
        <w:tc>
          <w:tcPr>
            <w:tcW w:w="2202" w:type="dxa"/>
            <w:tcBorders>
              <w:bottom w:val="single" w:sz="4" w:space="0" w:color="FFFFFF"/>
              <w:right w:val="single" w:sz="4" w:space="0" w:color="auto"/>
            </w:tcBorders>
          </w:tcPr>
          <w:p w:rsidR="00CB546B" w:rsidRPr="00D463EC" w:rsidRDefault="00CB546B" w:rsidP="002C52F7">
            <w:pPr>
              <w:autoSpaceDE w:val="0"/>
              <w:autoSpaceDN w:val="0"/>
              <w:adjustRightInd w:val="0"/>
              <w:spacing w:line="440" w:lineRule="exact"/>
              <w:jc w:val="center"/>
              <w:rPr>
                <w:rFonts w:eastAsia="仿宋_GB2312"/>
                <w:kern w:val="0"/>
                <w:sz w:val="24"/>
              </w:rPr>
            </w:pPr>
            <w:r w:rsidRPr="00D463EC">
              <w:rPr>
                <w:rFonts w:eastAsia="仿宋_GB2312"/>
                <w:kern w:val="0"/>
                <w:sz w:val="24"/>
              </w:rPr>
              <w:t>检测阳性</w:t>
            </w:r>
          </w:p>
        </w:tc>
        <w:tc>
          <w:tcPr>
            <w:tcW w:w="2028" w:type="dxa"/>
            <w:tcBorders>
              <w:left w:val="single" w:sz="4" w:space="0" w:color="auto"/>
              <w:bottom w:val="single" w:sz="4" w:space="0" w:color="FFFFFF"/>
            </w:tcBorders>
          </w:tcPr>
          <w:p w:rsidR="00CB546B" w:rsidRPr="00D463EC" w:rsidRDefault="00CB546B" w:rsidP="002C52F7">
            <w:pPr>
              <w:autoSpaceDE w:val="0"/>
              <w:autoSpaceDN w:val="0"/>
              <w:adjustRightInd w:val="0"/>
              <w:spacing w:line="440" w:lineRule="exact"/>
              <w:jc w:val="center"/>
              <w:rPr>
                <w:rFonts w:eastAsia="仿宋_GB2312"/>
                <w:kern w:val="0"/>
                <w:sz w:val="24"/>
              </w:rPr>
            </w:pPr>
            <w:r w:rsidRPr="00D463EC">
              <w:rPr>
                <w:rFonts w:eastAsia="仿宋_GB2312"/>
                <w:kern w:val="0"/>
                <w:sz w:val="24"/>
              </w:rPr>
              <w:t>a</w:t>
            </w:r>
          </w:p>
        </w:tc>
        <w:tc>
          <w:tcPr>
            <w:tcW w:w="2188" w:type="dxa"/>
            <w:tcBorders>
              <w:bottom w:val="single" w:sz="4" w:space="0" w:color="FFFFFF"/>
            </w:tcBorders>
          </w:tcPr>
          <w:p w:rsidR="00CB546B" w:rsidRPr="00D463EC" w:rsidRDefault="00CB546B" w:rsidP="002C52F7">
            <w:pPr>
              <w:autoSpaceDE w:val="0"/>
              <w:autoSpaceDN w:val="0"/>
              <w:adjustRightInd w:val="0"/>
              <w:spacing w:line="440" w:lineRule="exact"/>
              <w:jc w:val="center"/>
              <w:rPr>
                <w:rFonts w:eastAsia="仿宋_GB2312"/>
                <w:kern w:val="0"/>
                <w:sz w:val="24"/>
              </w:rPr>
            </w:pPr>
            <w:r w:rsidRPr="00D463EC">
              <w:rPr>
                <w:rFonts w:eastAsia="仿宋_GB2312"/>
                <w:kern w:val="0"/>
                <w:sz w:val="24"/>
              </w:rPr>
              <w:t>b</w:t>
            </w:r>
          </w:p>
        </w:tc>
        <w:tc>
          <w:tcPr>
            <w:tcW w:w="1444" w:type="dxa"/>
            <w:tcBorders>
              <w:bottom w:val="single" w:sz="4" w:space="0" w:color="FFFFFF"/>
            </w:tcBorders>
          </w:tcPr>
          <w:p w:rsidR="00CB546B" w:rsidRPr="00D463EC" w:rsidRDefault="00CB546B" w:rsidP="002C52F7">
            <w:pPr>
              <w:autoSpaceDE w:val="0"/>
              <w:autoSpaceDN w:val="0"/>
              <w:adjustRightInd w:val="0"/>
              <w:spacing w:line="440" w:lineRule="exact"/>
              <w:jc w:val="center"/>
              <w:rPr>
                <w:rFonts w:eastAsia="仿宋_GB2312"/>
                <w:kern w:val="0"/>
                <w:sz w:val="24"/>
              </w:rPr>
            </w:pPr>
            <w:r w:rsidRPr="00D463EC">
              <w:rPr>
                <w:rFonts w:eastAsia="仿宋_GB2312"/>
                <w:kern w:val="0"/>
                <w:sz w:val="24"/>
              </w:rPr>
              <w:t>a+b</w:t>
            </w:r>
          </w:p>
        </w:tc>
      </w:tr>
      <w:tr w:rsidR="00CB546B" w:rsidRPr="00D463EC" w:rsidTr="002C52F7">
        <w:trPr>
          <w:trHeight w:val="548"/>
          <w:jc w:val="center"/>
        </w:trPr>
        <w:tc>
          <w:tcPr>
            <w:tcW w:w="2202" w:type="dxa"/>
            <w:tcBorders>
              <w:top w:val="single" w:sz="4" w:space="0" w:color="FFFFFF"/>
              <w:bottom w:val="single" w:sz="4" w:space="0" w:color="auto"/>
              <w:right w:val="single" w:sz="4" w:space="0" w:color="auto"/>
            </w:tcBorders>
          </w:tcPr>
          <w:p w:rsidR="00CB546B" w:rsidRPr="00D463EC" w:rsidRDefault="00CB546B" w:rsidP="002C52F7">
            <w:pPr>
              <w:autoSpaceDE w:val="0"/>
              <w:autoSpaceDN w:val="0"/>
              <w:adjustRightInd w:val="0"/>
              <w:spacing w:line="440" w:lineRule="exact"/>
              <w:jc w:val="center"/>
              <w:rPr>
                <w:rFonts w:eastAsia="仿宋_GB2312"/>
                <w:kern w:val="0"/>
                <w:sz w:val="24"/>
              </w:rPr>
            </w:pPr>
            <w:r w:rsidRPr="00D463EC">
              <w:rPr>
                <w:rFonts w:eastAsia="仿宋_GB2312"/>
                <w:kern w:val="0"/>
                <w:sz w:val="24"/>
              </w:rPr>
              <w:t>检测阴性</w:t>
            </w:r>
          </w:p>
        </w:tc>
        <w:tc>
          <w:tcPr>
            <w:tcW w:w="2028" w:type="dxa"/>
            <w:tcBorders>
              <w:top w:val="single" w:sz="4" w:space="0" w:color="FFFFFF"/>
              <w:left w:val="single" w:sz="4" w:space="0" w:color="auto"/>
            </w:tcBorders>
          </w:tcPr>
          <w:p w:rsidR="00CB546B" w:rsidRPr="00D463EC" w:rsidRDefault="00CB546B" w:rsidP="002C52F7">
            <w:pPr>
              <w:autoSpaceDE w:val="0"/>
              <w:autoSpaceDN w:val="0"/>
              <w:adjustRightInd w:val="0"/>
              <w:spacing w:line="440" w:lineRule="exact"/>
              <w:jc w:val="center"/>
              <w:rPr>
                <w:rFonts w:eastAsia="仿宋_GB2312"/>
                <w:kern w:val="0"/>
                <w:sz w:val="24"/>
              </w:rPr>
            </w:pPr>
            <w:r w:rsidRPr="00D463EC">
              <w:rPr>
                <w:rFonts w:eastAsia="仿宋_GB2312"/>
                <w:kern w:val="0"/>
                <w:sz w:val="24"/>
              </w:rPr>
              <w:t>c</w:t>
            </w:r>
          </w:p>
        </w:tc>
        <w:tc>
          <w:tcPr>
            <w:tcW w:w="2188" w:type="dxa"/>
            <w:tcBorders>
              <w:top w:val="single" w:sz="4" w:space="0" w:color="FFFFFF"/>
            </w:tcBorders>
          </w:tcPr>
          <w:p w:rsidR="00CB546B" w:rsidRPr="00D463EC" w:rsidRDefault="00CB546B" w:rsidP="002C52F7">
            <w:pPr>
              <w:autoSpaceDE w:val="0"/>
              <w:autoSpaceDN w:val="0"/>
              <w:adjustRightInd w:val="0"/>
              <w:spacing w:line="440" w:lineRule="exact"/>
              <w:jc w:val="center"/>
              <w:rPr>
                <w:rFonts w:eastAsia="仿宋_GB2312"/>
                <w:kern w:val="0"/>
                <w:sz w:val="24"/>
              </w:rPr>
            </w:pPr>
            <w:r w:rsidRPr="00D463EC">
              <w:rPr>
                <w:rFonts w:eastAsia="仿宋_GB2312"/>
                <w:kern w:val="0"/>
                <w:sz w:val="24"/>
              </w:rPr>
              <w:t>d</w:t>
            </w:r>
          </w:p>
        </w:tc>
        <w:tc>
          <w:tcPr>
            <w:tcW w:w="1444" w:type="dxa"/>
            <w:tcBorders>
              <w:top w:val="single" w:sz="4" w:space="0" w:color="FFFFFF"/>
            </w:tcBorders>
          </w:tcPr>
          <w:p w:rsidR="00CB546B" w:rsidRPr="00D463EC" w:rsidRDefault="00CB546B" w:rsidP="002C52F7">
            <w:pPr>
              <w:autoSpaceDE w:val="0"/>
              <w:autoSpaceDN w:val="0"/>
              <w:adjustRightInd w:val="0"/>
              <w:spacing w:line="440" w:lineRule="exact"/>
              <w:jc w:val="center"/>
              <w:rPr>
                <w:rFonts w:eastAsia="仿宋_GB2312"/>
                <w:kern w:val="0"/>
                <w:sz w:val="24"/>
              </w:rPr>
            </w:pPr>
            <w:r w:rsidRPr="00D463EC">
              <w:rPr>
                <w:rFonts w:eastAsia="仿宋_GB2312"/>
                <w:kern w:val="0"/>
                <w:sz w:val="24"/>
              </w:rPr>
              <w:t>c+d</w:t>
            </w:r>
          </w:p>
        </w:tc>
      </w:tr>
      <w:tr w:rsidR="00CB546B" w:rsidRPr="00D463EC" w:rsidTr="002C52F7">
        <w:trPr>
          <w:jc w:val="center"/>
        </w:trPr>
        <w:tc>
          <w:tcPr>
            <w:tcW w:w="2202" w:type="dxa"/>
            <w:tcBorders>
              <w:top w:val="single" w:sz="4" w:space="0" w:color="auto"/>
              <w:right w:val="single" w:sz="4" w:space="0" w:color="auto"/>
            </w:tcBorders>
          </w:tcPr>
          <w:p w:rsidR="00CB546B" w:rsidRPr="00D463EC" w:rsidRDefault="00CB546B" w:rsidP="002C52F7">
            <w:pPr>
              <w:autoSpaceDE w:val="0"/>
              <w:autoSpaceDN w:val="0"/>
              <w:adjustRightInd w:val="0"/>
              <w:spacing w:line="440" w:lineRule="exact"/>
              <w:jc w:val="center"/>
              <w:rPr>
                <w:rFonts w:eastAsia="仿宋_GB2312"/>
                <w:kern w:val="0"/>
                <w:sz w:val="24"/>
              </w:rPr>
            </w:pPr>
            <w:r w:rsidRPr="00D463EC">
              <w:rPr>
                <w:rFonts w:eastAsia="仿宋_GB2312"/>
                <w:kern w:val="0"/>
                <w:sz w:val="24"/>
              </w:rPr>
              <w:t>合计</w:t>
            </w:r>
          </w:p>
        </w:tc>
        <w:tc>
          <w:tcPr>
            <w:tcW w:w="2028" w:type="dxa"/>
            <w:tcBorders>
              <w:left w:val="single" w:sz="4" w:space="0" w:color="auto"/>
            </w:tcBorders>
          </w:tcPr>
          <w:p w:rsidR="00CB546B" w:rsidRPr="00D463EC" w:rsidRDefault="00CB546B" w:rsidP="002C52F7">
            <w:pPr>
              <w:autoSpaceDE w:val="0"/>
              <w:autoSpaceDN w:val="0"/>
              <w:adjustRightInd w:val="0"/>
              <w:spacing w:line="440" w:lineRule="exact"/>
              <w:jc w:val="center"/>
              <w:rPr>
                <w:rFonts w:eastAsia="仿宋_GB2312"/>
                <w:kern w:val="0"/>
                <w:sz w:val="24"/>
              </w:rPr>
            </w:pPr>
            <w:r w:rsidRPr="00D463EC">
              <w:rPr>
                <w:rFonts w:eastAsia="仿宋_GB2312"/>
                <w:kern w:val="0"/>
                <w:sz w:val="24"/>
              </w:rPr>
              <w:t>a+c</w:t>
            </w:r>
          </w:p>
        </w:tc>
        <w:tc>
          <w:tcPr>
            <w:tcW w:w="2188" w:type="dxa"/>
          </w:tcPr>
          <w:p w:rsidR="00CB546B" w:rsidRPr="00D463EC" w:rsidRDefault="00CB546B" w:rsidP="002C52F7">
            <w:pPr>
              <w:autoSpaceDE w:val="0"/>
              <w:autoSpaceDN w:val="0"/>
              <w:adjustRightInd w:val="0"/>
              <w:spacing w:line="440" w:lineRule="exact"/>
              <w:jc w:val="center"/>
              <w:rPr>
                <w:rFonts w:eastAsia="仿宋_GB2312"/>
                <w:kern w:val="0"/>
                <w:sz w:val="24"/>
              </w:rPr>
            </w:pPr>
            <w:r w:rsidRPr="00D463EC">
              <w:rPr>
                <w:rFonts w:eastAsia="仿宋_GB2312"/>
                <w:kern w:val="0"/>
                <w:sz w:val="24"/>
              </w:rPr>
              <w:t>b+d</w:t>
            </w:r>
          </w:p>
        </w:tc>
        <w:tc>
          <w:tcPr>
            <w:tcW w:w="1444" w:type="dxa"/>
          </w:tcPr>
          <w:p w:rsidR="00CB546B" w:rsidRPr="00D463EC" w:rsidRDefault="00CB546B" w:rsidP="002C52F7">
            <w:pPr>
              <w:autoSpaceDE w:val="0"/>
              <w:autoSpaceDN w:val="0"/>
              <w:adjustRightInd w:val="0"/>
              <w:spacing w:line="440" w:lineRule="exact"/>
              <w:jc w:val="center"/>
              <w:rPr>
                <w:rFonts w:eastAsia="仿宋_GB2312"/>
                <w:kern w:val="0"/>
                <w:sz w:val="24"/>
              </w:rPr>
            </w:pPr>
            <w:r w:rsidRPr="00D463EC">
              <w:rPr>
                <w:rFonts w:eastAsia="仿宋_GB2312"/>
                <w:kern w:val="0"/>
                <w:sz w:val="24"/>
              </w:rPr>
              <w:t>a+b+c+d</w:t>
            </w:r>
          </w:p>
        </w:tc>
      </w:tr>
    </w:tbl>
    <w:p w:rsidR="00CB546B" w:rsidRPr="00D463EC" w:rsidRDefault="00CB546B" w:rsidP="00CB546B">
      <w:pPr>
        <w:autoSpaceDE w:val="0"/>
        <w:autoSpaceDN w:val="0"/>
        <w:adjustRightInd w:val="0"/>
        <w:ind w:firstLine="200"/>
        <w:rPr>
          <w:rFonts w:eastAsia="仿宋_GB2312"/>
          <w:sz w:val="24"/>
        </w:rPr>
      </w:pPr>
    </w:p>
    <w:p w:rsidR="00CB546B" w:rsidRPr="00D463EC" w:rsidRDefault="00CB546B" w:rsidP="00CB546B">
      <w:pPr>
        <w:autoSpaceDE w:val="0"/>
        <w:autoSpaceDN w:val="0"/>
        <w:adjustRightInd w:val="0"/>
        <w:ind w:firstLine="200"/>
        <w:rPr>
          <w:rFonts w:eastAsia="仿宋_GB2312"/>
          <w:sz w:val="24"/>
        </w:rPr>
      </w:pPr>
      <w:r w:rsidRPr="00D463EC">
        <w:rPr>
          <w:rFonts w:eastAsia="仿宋_GB2312"/>
          <w:sz w:val="24"/>
        </w:rPr>
        <w:t>临床灵敏度</w:t>
      </w:r>
      <w:r w:rsidRPr="00D463EC">
        <w:rPr>
          <w:rFonts w:eastAsia="仿宋_GB2312"/>
          <w:sz w:val="24"/>
        </w:rPr>
        <w:t>= a/(a+c)*100%</w:t>
      </w:r>
    </w:p>
    <w:p w:rsidR="00CB546B" w:rsidRPr="00D463EC" w:rsidRDefault="00CB546B" w:rsidP="00CB546B">
      <w:pPr>
        <w:autoSpaceDE w:val="0"/>
        <w:autoSpaceDN w:val="0"/>
        <w:adjustRightInd w:val="0"/>
        <w:ind w:firstLine="200"/>
        <w:rPr>
          <w:rFonts w:eastAsia="仿宋_GB2312"/>
          <w:sz w:val="24"/>
        </w:rPr>
      </w:pPr>
      <w:r w:rsidRPr="00D463EC">
        <w:rPr>
          <w:rFonts w:eastAsia="仿宋_GB2312"/>
          <w:sz w:val="24"/>
        </w:rPr>
        <w:t>临床特异度</w:t>
      </w:r>
      <w:r w:rsidRPr="00D463EC">
        <w:rPr>
          <w:rFonts w:eastAsia="仿宋_GB2312"/>
          <w:sz w:val="24"/>
        </w:rPr>
        <w:t>= d/(b+d)*100%</w:t>
      </w:r>
    </w:p>
    <w:p w:rsidR="00CB546B" w:rsidRPr="00D463EC" w:rsidRDefault="00CB546B" w:rsidP="00CB546B">
      <w:pPr>
        <w:autoSpaceDE w:val="0"/>
        <w:autoSpaceDN w:val="0"/>
        <w:adjustRightInd w:val="0"/>
        <w:ind w:firstLine="200"/>
        <w:rPr>
          <w:rFonts w:eastAsia="仿宋_GB2312"/>
          <w:sz w:val="24"/>
        </w:rPr>
      </w:pPr>
      <w:r w:rsidRPr="00D463EC">
        <w:rPr>
          <w:rFonts w:eastAsia="仿宋_GB2312"/>
          <w:sz w:val="24"/>
        </w:rPr>
        <w:t>阳性预期值（</w:t>
      </w:r>
      <w:r w:rsidRPr="00D463EC">
        <w:rPr>
          <w:rFonts w:eastAsia="仿宋_GB2312"/>
          <w:sz w:val="24"/>
        </w:rPr>
        <w:t>PPV</w:t>
      </w:r>
      <w:r w:rsidRPr="00D463EC">
        <w:rPr>
          <w:rFonts w:eastAsia="仿宋_GB2312"/>
          <w:sz w:val="24"/>
        </w:rPr>
        <w:t>）</w:t>
      </w:r>
      <w:r w:rsidRPr="00D463EC">
        <w:rPr>
          <w:rFonts w:eastAsia="仿宋_GB2312"/>
          <w:sz w:val="24"/>
        </w:rPr>
        <w:t>=a/(a+b)*100%</w:t>
      </w:r>
    </w:p>
    <w:p w:rsidR="00CB546B" w:rsidRPr="00D463EC" w:rsidRDefault="00CB546B" w:rsidP="00CB546B">
      <w:pPr>
        <w:autoSpaceDE w:val="0"/>
        <w:autoSpaceDN w:val="0"/>
        <w:adjustRightInd w:val="0"/>
        <w:ind w:firstLine="200"/>
        <w:rPr>
          <w:rFonts w:eastAsia="仿宋_GB2312"/>
          <w:sz w:val="24"/>
        </w:rPr>
      </w:pPr>
      <w:r w:rsidRPr="00D463EC">
        <w:rPr>
          <w:rFonts w:eastAsia="仿宋_GB2312"/>
          <w:sz w:val="24"/>
        </w:rPr>
        <w:t>阴性预期值（</w:t>
      </w:r>
      <w:r w:rsidRPr="00D463EC">
        <w:rPr>
          <w:rFonts w:eastAsia="仿宋_GB2312"/>
          <w:sz w:val="24"/>
        </w:rPr>
        <w:t>NPV</w:t>
      </w:r>
      <w:r w:rsidRPr="00D463EC">
        <w:rPr>
          <w:rFonts w:eastAsia="仿宋_GB2312"/>
          <w:sz w:val="24"/>
        </w:rPr>
        <w:t>）</w:t>
      </w:r>
      <w:r w:rsidRPr="00D463EC">
        <w:rPr>
          <w:rFonts w:eastAsia="仿宋_GB2312"/>
          <w:sz w:val="24"/>
        </w:rPr>
        <w:t>=d/(c+d)*100%</w:t>
      </w:r>
    </w:p>
    <w:p w:rsidR="00CB546B" w:rsidRPr="00D463EC" w:rsidRDefault="00CB546B" w:rsidP="00CB546B">
      <w:pPr>
        <w:autoSpaceDE w:val="0"/>
        <w:autoSpaceDN w:val="0"/>
        <w:adjustRightInd w:val="0"/>
        <w:ind w:firstLine="200"/>
        <w:rPr>
          <w:rFonts w:eastAsia="仿宋_GB2312"/>
          <w:sz w:val="24"/>
        </w:rPr>
      </w:pPr>
      <w:r w:rsidRPr="00D463EC">
        <w:rPr>
          <w:rFonts w:eastAsia="仿宋_GB2312"/>
          <w:sz w:val="24"/>
        </w:rPr>
        <w:t>阳性似然比</w:t>
      </w:r>
      <w:r w:rsidRPr="00D463EC">
        <w:rPr>
          <w:rFonts w:eastAsia="仿宋_GB2312"/>
          <w:sz w:val="24"/>
        </w:rPr>
        <w:t>=</w:t>
      </w:r>
      <w:r w:rsidRPr="00D463EC">
        <w:rPr>
          <w:rFonts w:eastAsia="仿宋_GB2312"/>
          <w:sz w:val="24"/>
        </w:rPr>
        <w:t>临床灵敏度</w:t>
      </w:r>
      <w:r w:rsidRPr="00D463EC">
        <w:rPr>
          <w:rFonts w:eastAsia="仿宋_GB2312"/>
          <w:sz w:val="24"/>
        </w:rPr>
        <w:t>/</w:t>
      </w:r>
      <w:r w:rsidRPr="00D463EC">
        <w:rPr>
          <w:rFonts w:eastAsia="仿宋_GB2312"/>
          <w:sz w:val="24"/>
        </w:rPr>
        <w:t>（</w:t>
      </w:r>
      <w:r w:rsidRPr="00D463EC">
        <w:rPr>
          <w:rFonts w:eastAsia="仿宋_GB2312"/>
          <w:sz w:val="24"/>
        </w:rPr>
        <w:t>1-</w:t>
      </w:r>
      <w:r w:rsidRPr="00D463EC">
        <w:rPr>
          <w:rFonts w:eastAsia="仿宋_GB2312"/>
          <w:sz w:val="24"/>
        </w:rPr>
        <w:t>临床特异度）</w:t>
      </w:r>
    </w:p>
    <w:p w:rsidR="00CB546B" w:rsidRPr="00D463EC" w:rsidRDefault="00CB546B" w:rsidP="00CB546B">
      <w:pPr>
        <w:autoSpaceDE w:val="0"/>
        <w:autoSpaceDN w:val="0"/>
        <w:adjustRightInd w:val="0"/>
        <w:ind w:firstLine="200"/>
        <w:rPr>
          <w:rFonts w:eastAsia="仿宋_GB2312"/>
          <w:sz w:val="24"/>
        </w:rPr>
      </w:pPr>
      <w:r w:rsidRPr="00D463EC">
        <w:rPr>
          <w:rFonts w:eastAsia="仿宋_GB2312"/>
          <w:sz w:val="24"/>
        </w:rPr>
        <w:t>阴性似然比</w:t>
      </w:r>
      <w:r w:rsidRPr="00D463EC">
        <w:rPr>
          <w:rFonts w:eastAsia="仿宋_GB2312"/>
          <w:sz w:val="24"/>
        </w:rPr>
        <w:t>=</w:t>
      </w:r>
      <w:r w:rsidRPr="00D463EC">
        <w:rPr>
          <w:rFonts w:eastAsia="仿宋_GB2312"/>
          <w:sz w:val="24"/>
        </w:rPr>
        <w:t>（</w:t>
      </w:r>
      <w:r w:rsidRPr="00D463EC">
        <w:rPr>
          <w:rFonts w:eastAsia="仿宋_GB2312"/>
          <w:sz w:val="24"/>
        </w:rPr>
        <w:t>1-</w:t>
      </w:r>
      <w:r w:rsidRPr="00D463EC">
        <w:rPr>
          <w:rFonts w:eastAsia="仿宋_GB2312"/>
          <w:sz w:val="24"/>
        </w:rPr>
        <w:t>临床灵敏度）</w:t>
      </w:r>
      <w:r w:rsidRPr="00D463EC">
        <w:rPr>
          <w:rFonts w:eastAsia="仿宋_GB2312"/>
          <w:sz w:val="24"/>
        </w:rPr>
        <w:t>/</w:t>
      </w:r>
      <w:r w:rsidRPr="00D463EC">
        <w:rPr>
          <w:rFonts w:eastAsia="仿宋_GB2312"/>
          <w:sz w:val="24"/>
        </w:rPr>
        <w:t>临床特异度</w:t>
      </w:r>
    </w:p>
    <w:p w:rsidR="00CB546B" w:rsidRPr="00D463EC" w:rsidRDefault="00CB546B" w:rsidP="00D463EC">
      <w:pPr>
        <w:spacing w:line="520" w:lineRule="exact"/>
        <w:contextualSpacing/>
        <w:rPr>
          <w:rFonts w:eastAsia="仿宋_GB2312"/>
          <w:sz w:val="32"/>
          <w:szCs w:val="32"/>
        </w:rPr>
      </w:pP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针对不同的癌症、不同的适用人群等，性能评价指标可能有不同的侧重，申请人应合理确定预期可接受标准，并提供依据。同时建议针对入组受试者中不同风险因素人群进行亚组分析。</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临床试验中应针对各项评价指标进行点估计值及</w:t>
      </w:r>
      <w:r w:rsidRPr="00D463EC">
        <w:rPr>
          <w:rFonts w:eastAsia="仿宋_GB2312"/>
          <w:sz w:val="32"/>
          <w:szCs w:val="32"/>
        </w:rPr>
        <w:t>95%</w:t>
      </w:r>
      <w:r w:rsidRPr="00D463EC">
        <w:rPr>
          <w:rFonts w:eastAsia="仿宋_GB2312"/>
          <w:sz w:val="32"/>
          <w:szCs w:val="32"/>
        </w:rPr>
        <w:t>置信区间计算。同时还应计算入组人群中试验体外诊断试剂检测阳性率以及目标癌症及癌前病变（如有）检出率。</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最后应将试验体外诊断试剂各项临床性能与对比筛查方法（如适用）的各项临床性能进行比较，并分析申报产品临床性能能否满足临床需求。</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筛查安全性评价主要包括诊断或随访过程中相关并发症、辐射暴露等伤害及其发生概率分析、假阳性和假阴性检测结果的风险分析等，综合评估筛查带来的风险是否可接受。</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 xml:space="preserve">1.2 </w:t>
      </w:r>
      <w:r w:rsidRPr="00D463EC">
        <w:rPr>
          <w:rFonts w:eastAsia="仿宋_GB2312"/>
          <w:sz w:val="32"/>
          <w:szCs w:val="32"/>
        </w:rPr>
        <w:t>灵敏度和特异度的分层评价</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为了更加充分地评价申报产品针对相关癌症的临床灵敏度和临床特异度，一般还应对重要亚组分别进行分层分析，使临床性能评价更加全面地覆盖目标人群中的各种特征，包括不同分期的癌症病例，和不同干扰因素的非癌症病例等。如前瞻性入组病例中某些亚组样本量不足可针对此部分评价进一步富集入组，富集入组病例不纳入</w:t>
      </w:r>
      <w:r w:rsidRPr="00D463EC">
        <w:rPr>
          <w:rFonts w:eastAsia="仿宋_GB2312"/>
          <w:sz w:val="32"/>
          <w:szCs w:val="32"/>
        </w:rPr>
        <w:t>1.1</w:t>
      </w:r>
      <w:r w:rsidRPr="00D463EC">
        <w:rPr>
          <w:rFonts w:eastAsia="仿宋_GB2312"/>
          <w:sz w:val="32"/>
          <w:szCs w:val="32"/>
        </w:rPr>
        <w:t>部分的筛查性能评价。</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1.2.1</w:t>
      </w:r>
      <w:r w:rsidRPr="00D463EC">
        <w:rPr>
          <w:rFonts w:eastAsia="仿宋_GB2312"/>
          <w:sz w:val="32"/>
          <w:szCs w:val="32"/>
        </w:rPr>
        <w:t>目标癌症疾病组分层分析</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建议针对目标癌症不同分期、不同组织学类型以及不同人口统计学特征（如需要）等亚组的临床灵敏度进行分层分析，如筛查方法可同时筛查癌前病变和癌症患者，则还应针对癌前病变亚组单独分析临床灵敏度，从而对产品临床灵敏度进行充分评价。应特别关注癌前病变组（如有）、早期癌症组的临床灵敏度是否满足要求。</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1.2.2</w:t>
      </w:r>
      <w:r w:rsidRPr="00D463EC">
        <w:rPr>
          <w:rFonts w:eastAsia="仿宋_GB2312"/>
          <w:sz w:val="32"/>
          <w:szCs w:val="32"/>
        </w:rPr>
        <w:t>非目标癌症疾病组分层分析</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临床特异度评价应考虑到目标人群中可能的各种干扰因素的影响。建议特别针对目标癌症相关组织、器官的良性疾病组以及其他各种癌症亚组等的临床特异度进行分层分析。</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1.3</w:t>
      </w:r>
      <w:r w:rsidRPr="00D463EC">
        <w:rPr>
          <w:rFonts w:eastAsia="仿宋_GB2312"/>
          <w:sz w:val="32"/>
          <w:szCs w:val="32"/>
        </w:rPr>
        <w:t>被测标志物检测性能评价</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在以上临床性能评价的基础上，还应根据被测标志物的特征，建立适当的实验室参考方法，采用试验体外诊断试剂与实验室参考方法进行对比试验，评价试验体外诊断试剂针对被测标志物的检测性能。例如当被测标志物是</w:t>
      </w:r>
      <w:r w:rsidRPr="00D463EC">
        <w:rPr>
          <w:rFonts w:eastAsia="仿宋_GB2312"/>
          <w:sz w:val="32"/>
          <w:szCs w:val="32"/>
        </w:rPr>
        <w:t>DNA</w:t>
      </w:r>
      <w:r w:rsidRPr="00D463EC">
        <w:rPr>
          <w:rFonts w:eastAsia="仿宋_GB2312"/>
          <w:sz w:val="32"/>
          <w:szCs w:val="32"/>
        </w:rPr>
        <w:t>甲基化或者基因突变时，可以采用核酸序列测定方法作为参考方法，进行对比试验。如有适当的、具有较好可比性的同类已上市产品亦可用作对比试剂进行检测性能评价。</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当试验体外诊断试剂包含多项被测标志物时，原则上应针对所有标志物分别进行检测性能评价，阳性样本量和阴性样本量应分别采用适当的统计学方法进行估算，评价指标主要包括阳性符合率和阴性符合率。</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如不能进行上述对比试验，或不能针对所有标志物分别完成检测性能对比试验，应提供充分的理由和依据，并采用合理的方法进行检测性能评价。</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 xml:space="preserve">1.4 </w:t>
      </w:r>
      <w:r w:rsidRPr="00D463EC">
        <w:rPr>
          <w:rFonts w:eastAsia="仿宋_GB2312"/>
          <w:sz w:val="32"/>
          <w:szCs w:val="32"/>
        </w:rPr>
        <w:t>其他</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在对申报产品各项临床性能进行充分评价的基础上，申请人还可结合试验体外诊断试剂预期用于目标人群的成本效果比以及受试者接受度等进行综合分析，评价产品对筛查人群可能带来的风险和获益，并与已有筛查方法进行比较，评价申报产品的优势。此外建议申请人持续关注筛查频率对筛查效果的影响。</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 xml:space="preserve">2. </w:t>
      </w:r>
      <w:r w:rsidRPr="00D463EC">
        <w:rPr>
          <w:rFonts w:eastAsia="仿宋_GB2312"/>
          <w:sz w:val="32"/>
          <w:szCs w:val="32"/>
        </w:rPr>
        <w:t>对于尚无公认筛查指南的癌症</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任何癌症的筛查都不仅仅涉及到一个筛查产品或筛查技术的开发，而是涉及到一个筛查程序的建立，包括：明确的筛查目标人群（年龄、性别、高风险因素等）、适当的筛查方法和筛查频率、明确的筛查阳性受试者处置措施（进一步诊断和确诊后治疗的措施），并考虑合理的成本效果比和受试者接受度。</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对于尚无公认筛查指南、申报产品是该癌症的第一个筛查方法的情形，需要开展高质量的临床评价，通过系统的分析，确认筛查的获益大于风险，并明确适合的筛查人群。在此基础上应能够建立相应的筛查策略。</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开展临床评价前应首先确认筛查检测阳性受试者有适当的、可及时开展的疾病诊断方法及相应治疗干预措施，针对阴性受试者建立适当的随访流程。应明确癌症的风险因素。如需开展高风险人群筛查，应确定高风险人群判定标准或风险预测模型等，其中风险预测模型如为公开发表的，应提交参考文献，如为自己构建的，应提供模型的参数和验证数据。</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对此类产品临床评价应包括但不限于以下内容，其中针对申报产品的临床性能评价（</w:t>
      </w:r>
      <w:r w:rsidRPr="00D463EC">
        <w:rPr>
          <w:rFonts w:eastAsia="仿宋_GB2312"/>
          <w:sz w:val="32"/>
          <w:szCs w:val="32"/>
        </w:rPr>
        <w:t>2.1</w:t>
      </w:r>
      <w:r w:rsidRPr="00D463EC">
        <w:rPr>
          <w:rFonts w:eastAsia="仿宋_GB2312"/>
          <w:sz w:val="32"/>
          <w:szCs w:val="32"/>
        </w:rPr>
        <w:t>）应提供符合法规要求的注册临床试验资料，针对筛查的风险获益分析等其他方面的评价可以提交临床试验数据、其他临床研究数据、科学文献数据等资料。</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2.1</w:t>
      </w:r>
      <w:r w:rsidRPr="00D463EC">
        <w:rPr>
          <w:rFonts w:eastAsia="仿宋_GB2312"/>
          <w:sz w:val="32"/>
          <w:szCs w:val="32"/>
        </w:rPr>
        <w:t>临床性能评价</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临床性能评价应包括筛查性能评价、临床灵敏度和临床特异度的分层评价以及被测标志物检测性能评价。此部分试验入组标准、样本量、评价指标等可参考</w:t>
      </w:r>
      <w:r w:rsidRPr="00D463EC">
        <w:rPr>
          <w:rFonts w:eastAsia="仿宋_GB2312"/>
          <w:sz w:val="32"/>
          <w:szCs w:val="32"/>
        </w:rPr>
        <w:t>1.1</w:t>
      </w:r>
      <w:r w:rsidRPr="00D463EC">
        <w:rPr>
          <w:rFonts w:eastAsia="仿宋_GB2312"/>
          <w:sz w:val="32"/>
          <w:szCs w:val="32"/>
        </w:rPr>
        <w:t>、</w:t>
      </w:r>
      <w:r w:rsidRPr="00D463EC">
        <w:rPr>
          <w:rFonts w:eastAsia="仿宋_GB2312"/>
          <w:sz w:val="32"/>
          <w:szCs w:val="32"/>
        </w:rPr>
        <w:t>1.2</w:t>
      </w:r>
      <w:r w:rsidRPr="00D463EC">
        <w:rPr>
          <w:rFonts w:eastAsia="仿宋_GB2312"/>
          <w:sz w:val="32"/>
          <w:szCs w:val="32"/>
        </w:rPr>
        <w:t>、</w:t>
      </w:r>
      <w:r w:rsidRPr="00D463EC">
        <w:rPr>
          <w:rFonts w:eastAsia="仿宋_GB2312"/>
          <w:sz w:val="32"/>
          <w:szCs w:val="32"/>
        </w:rPr>
        <w:t>1.3</w:t>
      </w:r>
      <w:r w:rsidRPr="00D463EC">
        <w:rPr>
          <w:rFonts w:eastAsia="仿宋_GB2312"/>
          <w:sz w:val="32"/>
          <w:szCs w:val="32"/>
        </w:rPr>
        <w:t>部分的相关内容。此外：</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筛查性能评价试验（参考</w:t>
      </w:r>
      <w:r w:rsidRPr="00D463EC">
        <w:rPr>
          <w:rFonts w:eastAsia="仿宋_GB2312"/>
          <w:sz w:val="32"/>
          <w:szCs w:val="32"/>
        </w:rPr>
        <w:t>1.1</w:t>
      </w:r>
      <w:r w:rsidRPr="00D463EC">
        <w:rPr>
          <w:rFonts w:eastAsia="仿宋_GB2312"/>
          <w:sz w:val="32"/>
          <w:szCs w:val="32"/>
        </w:rPr>
        <w:t>所述方法开展）中主要评价指标除灵敏度、特异度、</w:t>
      </w:r>
      <w:r w:rsidRPr="00D463EC">
        <w:rPr>
          <w:rFonts w:eastAsia="仿宋_GB2312"/>
          <w:sz w:val="32"/>
          <w:szCs w:val="32"/>
        </w:rPr>
        <w:t>PPV</w:t>
      </w:r>
      <w:r w:rsidRPr="00D463EC">
        <w:rPr>
          <w:rFonts w:eastAsia="仿宋_GB2312"/>
          <w:sz w:val="32"/>
          <w:szCs w:val="32"/>
        </w:rPr>
        <w:t>、</w:t>
      </w:r>
      <w:r w:rsidRPr="00D463EC">
        <w:rPr>
          <w:rFonts w:eastAsia="仿宋_GB2312"/>
          <w:sz w:val="32"/>
          <w:szCs w:val="32"/>
        </w:rPr>
        <w:t>NPV</w:t>
      </w:r>
      <w:r w:rsidRPr="00D463EC">
        <w:rPr>
          <w:rFonts w:eastAsia="仿宋_GB2312"/>
          <w:sz w:val="32"/>
          <w:szCs w:val="32"/>
        </w:rPr>
        <w:t>、似然比以及目标癌症检出率以外，还应包括每诊断一例侵袭性癌症或癌前病变（如适用）需要筛查的人数（</w:t>
      </w:r>
      <w:r w:rsidRPr="00D463EC">
        <w:rPr>
          <w:rFonts w:eastAsia="仿宋_GB2312"/>
          <w:sz w:val="32"/>
          <w:szCs w:val="32"/>
        </w:rPr>
        <w:t>number needed to screen to detect an invasive cancer</w:t>
      </w:r>
      <w:r w:rsidRPr="00D463EC">
        <w:rPr>
          <w:rFonts w:eastAsia="仿宋_GB2312"/>
          <w:sz w:val="32"/>
          <w:szCs w:val="32"/>
        </w:rPr>
        <w:t>，</w:t>
      </w:r>
      <w:r w:rsidRPr="00D463EC">
        <w:rPr>
          <w:rFonts w:eastAsia="仿宋_GB2312"/>
          <w:sz w:val="32"/>
          <w:szCs w:val="32"/>
        </w:rPr>
        <w:t>NNS</w:t>
      </w:r>
      <w:r w:rsidRPr="00D463EC">
        <w:rPr>
          <w:rFonts w:eastAsia="仿宋_GB2312"/>
          <w:sz w:val="32"/>
          <w:szCs w:val="32"/>
        </w:rPr>
        <w:t>）和癌症各分期检出率，并总结筛查检测阳性受试者的诊断方法和确诊时间。筛查检测阳性结果有适当的、可及时开展的诊断方法是新的筛查方法建立的基础。应分析筛查检测阳性受试者后续确诊所花费的时间，并评价此时间间隔的可接受度。建议包括三个月内、六个月内确诊百分比、检测阳性人群确诊时间的</w:t>
      </w:r>
      <w:r w:rsidRPr="00D463EC">
        <w:rPr>
          <w:rFonts w:eastAsia="仿宋_GB2312"/>
          <w:sz w:val="32"/>
          <w:szCs w:val="32"/>
        </w:rPr>
        <w:t>50%</w:t>
      </w:r>
      <w:r w:rsidRPr="00D463EC">
        <w:rPr>
          <w:rFonts w:eastAsia="仿宋_GB2312"/>
          <w:sz w:val="32"/>
          <w:szCs w:val="32"/>
        </w:rPr>
        <w:t>、</w:t>
      </w:r>
      <w:r w:rsidRPr="00D463EC">
        <w:rPr>
          <w:rFonts w:eastAsia="仿宋_GB2312"/>
          <w:sz w:val="32"/>
          <w:szCs w:val="32"/>
        </w:rPr>
        <w:t>75%</w:t>
      </w:r>
      <w:r w:rsidRPr="00D463EC">
        <w:rPr>
          <w:rFonts w:eastAsia="仿宋_GB2312"/>
          <w:sz w:val="32"/>
          <w:szCs w:val="32"/>
        </w:rPr>
        <w:t>分位点等指标。确诊方法应按照相关临床诊疗指南、规范等提出的诊断方法执行。</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安全性评价应包括临床试验中筛查过程（如筛查用样本采集）、后续诊断和治疗过程带来的并发症、辐射暴露等伤害及其发生率的分析，假阳性和假阴性结果可能带来的风险等；说明风险控制措施和剩余风险可接受的理由。</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2.2</w:t>
      </w:r>
      <w:r w:rsidRPr="00D463EC">
        <w:rPr>
          <w:rFonts w:eastAsia="仿宋_GB2312"/>
          <w:sz w:val="32"/>
          <w:szCs w:val="32"/>
        </w:rPr>
        <w:t>筛查的临床获益和风险评价</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应采用合理的方式对筛查的临床获益和风险进行评价，确认筛查获益大于风险。最理想的方式是开展随机对照试验（</w:t>
      </w:r>
      <w:r w:rsidRPr="00D463EC">
        <w:rPr>
          <w:rFonts w:eastAsia="仿宋_GB2312"/>
          <w:sz w:val="32"/>
          <w:szCs w:val="32"/>
        </w:rPr>
        <w:t>RCT</w:t>
      </w:r>
      <w:r w:rsidRPr="00D463EC">
        <w:rPr>
          <w:rFonts w:eastAsia="仿宋_GB2312"/>
          <w:sz w:val="32"/>
          <w:szCs w:val="32"/>
        </w:rPr>
        <w:t>），如适用还可提供其他研究证据，如队列研究数据等。</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2.2.1</w:t>
      </w:r>
      <w:r w:rsidRPr="00D463EC">
        <w:rPr>
          <w:rFonts w:eastAsia="仿宋_GB2312"/>
          <w:sz w:val="32"/>
          <w:szCs w:val="32"/>
        </w:rPr>
        <w:t>临床获益评价</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临床获益评价有短期获益评价和长期获益评价。</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短期获益评价一般考察癌症晚期发病率降低、临床分期的转移等，从而评价筛查是否使人群获益。长期获益评价一般分析目标癌症死亡率降低或全因死亡率降低，综合评价筛查方法的应用是否使人群获益。</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上述临床获益的评价往往需要足够的随访时间。申请人在临床评价中可综合可获得的各种证据对申报产品预期的临床获益进行充分分析，对产品临床价值和临床意义进行合理阐述，提交的数据可来自文献数据、经验数据，以及申报产品的临床研究数据等。</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2.2.2</w:t>
      </w:r>
      <w:r w:rsidRPr="00D463EC">
        <w:rPr>
          <w:rFonts w:eastAsia="仿宋_GB2312"/>
          <w:sz w:val="32"/>
          <w:szCs w:val="32"/>
        </w:rPr>
        <w:t>风险分析</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筛查用体外诊断试剂的检测本身带来的伤害（包括严重程度和发生率）一般比较轻微且比例较低，例如宫颈癌筛查时宫颈上皮脱落细胞采样造成的不适、出血等。癌症筛查造成的主要风险一般来自筛查检测下游事件，包括筛查后诊断流程中的并发症、辐射暴露等伤害、筛查检测的假阴性和假阳性结果带来的风险、过度诊断风险以及筛查带来的焦虑等。应在产品风险分析的基础上明确风险控制的措施以及评估剩余风险是否可接受。</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2.2.2.1</w:t>
      </w:r>
      <w:r w:rsidRPr="00D463EC">
        <w:rPr>
          <w:rFonts w:eastAsia="仿宋_GB2312"/>
          <w:sz w:val="32"/>
          <w:szCs w:val="32"/>
        </w:rPr>
        <w:t>应评价筛查过程本身和筛查后的诊断等管理流程中可能发生的并发症、辐射暴露等伤害及其发生概率。</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2.2.2.2</w:t>
      </w:r>
      <w:r w:rsidRPr="00D463EC">
        <w:rPr>
          <w:rFonts w:eastAsia="仿宋_GB2312"/>
          <w:sz w:val="32"/>
          <w:szCs w:val="32"/>
        </w:rPr>
        <w:t>假阳性检测结果可能造成不必要的侵入性诊断和治疗的伤害。应评价假阳性比例、因假阳性结果造成的不必要的侵入性诊断和治疗的比例以及因此而造成伤害（并发症、不良心理影响等）的比例等指标。</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2.2.2.3</w:t>
      </w:r>
      <w:r w:rsidRPr="00D463EC">
        <w:rPr>
          <w:rFonts w:eastAsia="仿宋_GB2312"/>
          <w:sz w:val="32"/>
          <w:szCs w:val="32"/>
        </w:rPr>
        <w:t>假阴性结果可能使得患者或医生忽视重要的症状，从而延误疾病的诊断和治疗。应评价筛查检测假阴性结果的比例。并结合预期筛查频率分析假阴性结果带来的风险。</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2.2.2.4</w:t>
      </w:r>
      <w:r w:rsidRPr="00D463EC">
        <w:rPr>
          <w:rFonts w:eastAsia="仿宋_GB2312"/>
          <w:sz w:val="32"/>
          <w:szCs w:val="32"/>
        </w:rPr>
        <w:t>过度诊断。过度诊断指的是部分早期病变可能永远不会发展至临床期、也不会影响受试者寿命的情形，因此筛查产生的早期诊断是没有必要的，反而因进一步的侵入性诊断带来伤害和风险。应分析针对目标人群的筛查带来的过度诊断的情况，并评价其可接受程度。</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2.2.2.5</w:t>
      </w:r>
      <w:r w:rsidRPr="00D463EC">
        <w:rPr>
          <w:rFonts w:eastAsia="仿宋_GB2312"/>
          <w:sz w:val="32"/>
          <w:szCs w:val="32"/>
        </w:rPr>
        <w:t>筛查带来的焦虑影响等。</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2.3</w:t>
      </w:r>
      <w:r w:rsidRPr="00D463EC">
        <w:rPr>
          <w:rFonts w:eastAsia="仿宋_GB2312"/>
          <w:sz w:val="32"/>
          <w:szCs w:val="32"/>
        </w:rPr>
        <w:t>其他</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一个新的癌症筛查方法只有推广到人群才能真正证明是否能够在人群层面上使受试者获益</w:t>
      </w:r>
      <w:r w:rsidRPr="00D463EC">
        <w:rPr>
          <w:rFonts w:eastAsia="仿宋_GB2312"/>
          <w:sz w:val="32"/>
          <w:szCs w:val="32"/>
        </w:rPr>
        <w:t>,</w:t>
      </w:r>
      <w:r w:rsidRPr="00D463EC">
        <w:rPr>
          <w:rFonts w:eastAsia="仿宋_GB2312"/>
          <w:sz w:val="32"/>
          <w:szCs w:val="32"/>
        </w:rPr>
        <w:t>应在临床应用后持续观察是否产生人群层面的发病率、死亡率变化等方面的获益；并关注和优化筛查频率，以实现更优的筛查效果。</w:t>
      </w:r>
    </w:p>
    <w:p w:rsidR="00CB546B" w:rsidRPr="00D463EC" w:rsidRDefault="00CB546B" w:rsidP="00D463EC">
      <w:pPr>
        <w:spacing w:line="480" w:lineRule="exact"/>
        <w:ind w:firstLineChars="200" w:firstLine="640"/>
        <w:contextualSpacing/>
        <w:rPr>
          <w:rFonts w:eastAsia="楷体_GB2312"/>
          <w:sz w:val="32"/>
          <w:szCs w:val="32"/>
        </w:rPr>
      </w:pPr>
      <w:r w:rsidRPr="00D463EC">
        <w:rPr>
          <w:rFonts w:eastAsia="楷体_GB2312"/>
          <w:sz w:val="32"/>
          <w:szCs w:val="32"/>
        </w:rPr>
        <w:t>（三）多癌种联合筛查产品的考虑</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多癌种联合筛查在上述评价的基础上还需要考虑癌种组合的合理性、适用人群的选择、阳性检测结果组织溯源的准确性；同时结合多癌种联合筛查带来的后续诊断的复杂性，充分分析检测阳性受试者疾病确诊时间、诊断过程中可能发生的伤害和确诊检查的可及性等。应进行更加充分的风险获益分析。以下问题应特别注意：</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1.</w:t>
      </w:r>
      <w:r w:rsidRPr="00D463EC">
        <w:rPr>
          <w:rFonts w:eastAsia="仿宋_GB2312"/>
          <w:sz w:val="32"/>
          <w:szCs w:val="32"/>
        </w:rPr>
        <w:t>应具有良好的组织溯源能力，并在临床研究中充分论证组织溯源准确性满足需求。</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2.</w:t>
      </w:r>
      <w:r w:rsidRPr="00D463EC">
        <w:rPr>
          <w:rFonts w:eastAsia="仿宋_GB2312"/>
          <w:sz w:val="32"/>
          <w:szCs w:val="32"/>
        </w:rPr>
        <w:t>临床试验前应确认诊断阳性受试者有适当的、可及时开展的疾病诊断方法及相应治疗干预措施；明确阳性受试者的诊断流程、预期确诊时间和阴性受试者随访流程、随访时间。</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3.</w:t>
      </w:r>
      <w:r w:rsidRPr="00D463EC">
        <w:rPr>
          <w:rFonts w:eastAsia="仿宋_GB2312"/>
          <w:sz w:val="32"/>
          <w:szCs w:val="32"/>
        </w:rPr>
        <w:t>需要考虑到确诊过程中并发症、辐射暴露的发生、假阳性、假阴性结果、以及癌种的误判等可能给受试者带来风险以及心理负担。鉴于多癌种联合检测时，阳性受试者可能面临更加复杂的癌症诊断流程，假阳性结果带来的并发症风险需要更加重视。</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多癌种联合筛查产品的设计开发应以临床需求为导向，以循证医学证据为支持，进行充分的风险获益分析，为癌症早诊早治提供有效工具。</w:t>
      </w:r>
    </w:p>
    <w:p w:rsidR="00CB546B" w:rsidRPr="00D463EC" w:rsidRDefault="00CB546B" w:rsidP="00D463EC">
      <w:pPr>
        <w:spacing w:line="480" w:lineRule="exact"/>
        <w:rPr>
          <w:rFonts w:eastAsia="仿宋_GB2312"/>
          <w:sz w:val="32"/>
          <w:szCs w:val="32"/>
        </w:rPr>
      </w:pPr>
    </w:p>
    <w:p w:rsidR="00CB546B" w:rsidRPr="00D463EC" w:rsidRDefault="00CB546B" w:rsidP="00D463EC">
      <w:pPr>
        <w:spacing w:line="480" w:lineRule="exact"/>
        <w:ind w:firstLineChars="200" w:firstLine="640"/>
        <w:contextualSpacing/>
        <w:rPr>
          <w:rFonts w:eastAsia="黑体"/>
          <w:sz w:val="32"/>
          <w:szCs w:val="32"/>
        </w:rPr>
      </w:pPr>
      <w:r w:rsidRPr="00D463EC">
        <w:rPr>
          <w:rFonts w:eastAsia="黑体"/>
          <w:sz w:val="32"/>
          <w:szCs w:val="32"/>
        </w:rPr>
        <w:t>三、参考文献</w:t>
      </w:r>
    </w:p>
    <w:p w:rsidR="00CB546B" w:rsidRPr="00D463EC" w:rsidRDefault="00CB546B" w:rsidP="00D463EC">
      <w:pPr>
        <w:spacing w:line="480" w:lineRule="exact"/>
        <w:ind w:firstLineChars="200" w:firstLine="640"/>
        <w:rPr>
          <w:rFonts w:eastAsia="仿宋_GB2312"/>
          <w:sz w:val="32"/>
          <w:szCs w:val="32"/>
        </w:rPr>
      </w:pPr>
      <w:r w:rsidRPr="00D463EC">
        <w:rPr>
          <w:rFonts w:eastAsia="仿宋_GB2312"/>
          <w:sz w:val="32"/>
          <w:szCs w:val="32"/>
        </w:rPr>
        <w:t>[1]</w:t>
      </w:r>
      <w:r w:rsidRPr="00D463EC">
        <w:rPr>
          <w:rFonts w:eastAsia="仿宋_GB2312"/>
          <w:sz w:val="32"/>
          <w:szCs w:val="32"/>
        </w:rPr>
        <w:t>国家市场监督管理总局</w:t>
      </w:r>
      <w:r w:rsidRPr="00D463EC">
        <w:rPr>
          <w:rFonts w:eastAsia="仿宋_GB2312"/>
          <w:sz w:val="32"/>
          <w:szCs w:val="32"/>
        </w:rPr>
        <w:t>.</w:t>
      </w:r>
      <w:r w:rsidRPr="00D463EC">
        <w:rPr>
          <w:rFonts w:eastAsia="仿宋_GB2312"/>
          <w:sz w:val="32"/>
          <w:szCs w:val="32"/>
        </w:rPr>
        <w:t>体外诊断试剂注册与备案管理办法</w:t>
      </w:r>
      <w:r w:rsidRPr="00D463EC">
        <w:rPr>
          <w:rFonts w:eastAsia="仿宋_GB2312"/>
          <w:sz w:val="32"/>
          <w:szCs w:val="32"/>
        </w:rPr>
        <w:t xml:space="preserve">: </w:t>
      </w:r>
      <w:r w:rsidRPr="00D463EC">
        <w:rPr>
          <w:rFonts w:eastAsia="仿宋_GB2312"/>
          <w:sz w:val="32"/>
          <w:szCs w:val="32"/>
        </w:rPr>
        <w:t>国家市场监督管理总局令第</w:t>
      </w:r>
      <w:r w:rsidRPr="00D463EC">
        <w:rPr>
          <w:rFonts w:eastAsia="仿宋_GB2312"/>
          <w:sz w:val="32"/>
          <w:szCs w:val="32"/>
        </w:rPr>
        <w:t>48</w:t>
      </w:r>
      <w:r w:rsidRPr="00D463EC">
        <w:rPr>
          <w:rFonts w:eastAsia="仿宋_GB2312"/>
          <w:sz w:val="32"/>
          <w:szCs w:val="32"/>
        </w:rPr>
        <w:t>号</w:t>
      </w:r>
      <w:r w:rsidRPr="00D463EC">
        <w:rPr>
          <w:rFonts w:eastAsia="仿宋_GB2312"/>
          <w:sz w:val="32"/>
          <w:szCs w:val="32"/>
        </w:rPr>
        <w:t xml:space="preserve">[Z]. </w:t>
      </w:r>
    </w:p>
    <w:p w:rsidR="00CB546B" w:rsidRPr="00D463EC" w:rsidRDefault="00CB546B" w:rsidP="00D463EC">
      <w:pPr>
        <w:spacing w:line="480" w:lineRule="exact"/>
        <w:ind w:firstLineChars="200" w:firstLine="640"/>
        <w:rPr>
          <w:rFonts w:eastAsia="仿宋_GB2312"/>
          <w:color w:val="000000"/>
          <w:sz w:val="32"/>
          <w:szCs w:val="32"/>
        </w:rPr>
      </w:pPr>
      <w:r w:rsidRPr="00D463EC">
        <w:rPr>
          <w:rFonts w:eastAsia="仿宋_GB2312"/>
          <w:color w:val="000000"/>
          <w:sz w:val="32"/>
          <w:szCs w:val="32"/>
        </w:rPr>
        <w:t>[2]</w:t>
      </w:r>
      <w:r w:rsidRPr="00D463EC">
        <w:rPr>
          <w:rFonts w:eastAsia="仿宋_GB2312"/>
          <w:color w:val="000000"/>
          <w:sz w:val="32"/>
          <w:szCs w:val="32"/>
        </w:rPr>
        <w:t>国家药品监督管理局</w:t>
      </w:r>
      <w:r w:rsidRPr="00D463EC">
        <w:rPr>
          <w:rFonts w:eastAsia="仿宋_GB2312"/>
          <w:color w:val="000000"/>
          <w:sz w:val="32"/>
          <w:szCs w:val="32"/>
        </w:rPr>
        <w:t xml:space="preserve"> </w:t>
      </w:r>
      <w:r w:rsidRPr="00D463EC">
        <w:rPr>
          <w:rFonts w:eastAsia="仿宋_GB2312"/>
          <w:color w:val="000000"/>
          <w:sz w:val="32"/>
          <w:szCs w:val="32"/>
        </w:rPr>
        <w:t>国家卫生健康委员会</w:t>
      </w:r>
      <w:r w:rsidRPr="00D463EC">
        <w:rPr>
          <w:rFonts w:eastAsia="仿宋_GB2312"/>
          <w:color w:val="000000"/>
          <w:sz w:val="32"/>
          <w:szCs w:val="32"/>
        </w:rPr>
        <w:t>.</w:t>
      </w:r>
      <w:r w:rsidRPr="00D463EC">
        <w:rPr>
          <w:rFonts w:eastAsia="仿宋_GB2312"/>
          <w:color w:val="000000"/>
          <w:sz w:val="32"/>
          <w:szCs w:val="32"/>
        </w:rPr>
        <w:t>医疗器械临床试验质量管理规范：国家药品监督管理局</w:t>
      </w:r>
      <w:r w:rsidRPr="00D463EC">
        <w:rPr>
          <w:rFonts w:eastAsia="仿宋_GB2312"/>
          <w:color w:val="000000"/>
          <w:sz w:val="32"/>
          <w:szCs w:val="32"/>
        </w:rPr>
        <w:t xml:space="preserve"> </w:t>
      </w:r>
      <w:r w:rsidRPr="00D463EC">
        <w:rPr>
          <w:rFonts w:eastAsia="仿宋_GB2312"/>
          <w:color w:val="000000"/>
          <w:sz w:val="32"/>
          <w:szCs w:val="32"/>
        </w:rPr>
        <w:t>国家卫生健康委员会</w:t>
      </w:r>
      <w:r w:rsidRPr="00D463EC">
        <w:rPr>
          <w:rFonts w:eastAsia="仿宋_GB2312"/>
          <w:color w:val="000000"/>
          <w:sz w:val="32"/>
          <w:szCs w:val="32"/>
        </w:rPr>
        <w:t>2022</w:t>
      </w:r>
      <w:r w:rsidRPr="00D463EC">
        <w:rPr>
          <w:rFonts w:eastAsia="仿宋_GB2312"/>
          <w:color w:val="000000"/>
          <w:sz w:val="32"/>
          <w:szCs w:val="32"/>
        </w:rPr>
        <w:t>年第</w:t>
      </w:r>
      <w:r w:rsidRPr="00D463EC">
        <w:rPr>
          <w:rFonts w:eastAsia="仿宋_GB2312"/>
          <w:color w:val="000000"/>
          <w:sz w:val="32"/>
          <w:szCs w:val="32"/>
        </w:rPr>
        <w:t>28</w:t>
      </w:r>
      <w:r w:rsidRPr="00D463EC">
        <w:rPr>
          <w:rFonts w:eastAsia="仿宋_GB2312"/>
          <w:color w:val="000000"/>
          <w:sz w:val="32"/>
          <w:szCs w:val="32"/>
        </w:rPr>
        <w:t>号</w:t>
      </w:r>
      <w:r w:rsidRPr="00D463EC">
        <w:rPr>
          <w:rFonts w:eastAsia="仿宋_GB2312"/>
          <w:color w:val="000000"/>
          <w:sz w:val="32"/>
          <w:szCs w:val="32"/>
        </w:rPr>
        <w:t>[Z].</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[3]</w:t>
      </w:r>
      <w:r w:rsidRPr="00D463EC">
        <w:rPr>
          <w:rFonts w:eastAsia="仿宋_GB2312"/>
          <w:sz w:val="32"/>
          <w:szCs w:val="32"/>
        </w:rPr>
        <w:t>国家药品监督管理局</w:t>
      </w:r>
      <w:r w:rsidRPr="00D463EC">
        <w:rPr>
          <w:rFonts w:eastAsia="仿宋_GB2312"/>
          <w:sz w:val="32"/>
          <w:szCs w:val="32"/>
        </w:rPr>
        <w:t>.</w:t>
      </w:r>
      <w:r w:rsidRPr="00D463EC">
        <w:rPr>
          <w:rFonts w:eastAsia="仿宋_GB2312"/>
          <w:sz w:val="32"/>
          <w:szCs w:val="32"/>
        </w:rPr>
        <w:t>体外诊断试剂临床试验技术指导原则：国家药品监督管理局</w:t>
      </w:r>
      <w:r w:rsidRPr="00D463EC">
        <w:rPr>
          <w:rFonts w:eastAsia="仿宋_GB2312"/>
          <w:sz w:val="32"/>
          <w:szCs w:val="32"/>
        </w:rPr>
        <w:t>2021</w:t>
      </w:r>
      <w:r w:rsidRPr="00D463EC">
        <w:rPr>
          <w:rFonts w:eastAsia="仿宋_GB2312"/>
          <w:sz w:val="32"/>
          <w:szCs w:val="32"/>
        </w:rPr>
        <w:t>年第</w:t>
      </w:r>
      <w:r w:rsidRPr="00D463EC">
        <w:rPr>
          <w:rFonts w:eastAsia="仿宋_GB2312"/>
          <w:sz w:val="32"/>
          <w:szCs w:val="32"/>
        </w:rPr>
        <w:t>72</w:t>
      </w:r>
      <w:r w:rsidRPr="00D463EC">
        <w:rPr>
          <w:rFonts w:eastAsia="仿宋_GB2312"/>
          <w:sz w:val="32"/>
          <w:szCs w:val="32"/>
        </w:rPr>
        <w:t>号</w:t>
      </w:r>
      <w:r w:rsidRPr="00D463EC">
        <w:rPr>
          <w:rFonts w:eastAsia="仿宋_GB2312"/>
          <w:sz w:val="32"/>
          <w:szCs w:val="32"/>
        </w:rPr>
        <w:t>[Z].</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[4]Principles of Cancer Screening. Surg Clin North Am. 2015 October ; 95(5): 953-966. doi:10.1016/j.suc.2015.05.009.</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[5]Screening for Lung Cancer. US Preventive Services Task Force Recommendation Statement. JAMA. 2021;325(10):962-970.</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[6]Screening for Breast Cancer: U.S. Preventive Services Task Force Recommendation Statement. Albert L. Siu, MD, MSPH, on behalf of the U.S. Preventive Services Task Force. Ann. Intern Med. 2016;164:279-296.</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[7] Smith RA, Andrews KS, Brooks D, Fedewa SA, Manassaram-Baptiste D, Saslow D, Wender RC. Cancer screening in the United States, 2019: A review of current American Cancer Society guidelines and current issues in cancer screening. CA Cancer J Clin. 2019 May;69(3):184-210. doi: 10.3322/caac.21557. Epub 2019 Mar 15. PMID: 30875085.</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[8]WHO regional office for Europe. A short guide to cancer screening</w:t>
      </w:r>
      <w:r w:rsidRPr="00D463EC">
        <w:rPr>
          <w:rFonts w:eastAsia="仿宋_GB2312"/>
          <w:sz w:val="32"/>
          <w:szCs w:val="32"/>
        </w:rPr>
        <w:t>：</w:t>
      </w:r>
      <w:r w:rsidRPr="00D463EC">
        <w:rPr>
          <w:rFonts w:eastAsia="仿宋_GB2312"/>
          <w:sz w:val="32"/>
          <w:szCs w:val="32"/>
        </w:rPr>
        <w:t>Increase effectiveness, maximize benefits and minimize harm, 2022.</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[9]WHO. PRINCIPLES AND PRACTICE OF SCREENING FOR DISEASE J. M. G. WILSON &amp; G. JUNGNER, 1968.</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[10]</w:t>
      </w:r>
      <w:r w:rsidRPr="00D463EC">
        <w:rPr>
          <w:rFonts w:eastAsia="仿宋_GB2312"/>
          <w:sz w:val="32"/>
          <w:szCs w:val="32"/>
        </w:rPr>
        <w:t>詹思延</w:t>
      </w:r>
      <w:r w:rsidRPr="00D463EC">
        <w:rPr>
          <w:rFonts w:eastAsia="仿宋_GB2312"/>
          <w:sz w:val="32"/>
          <w:szCs w:val="32"/>
        </w:rPr>
        <w:t xml:space="preserve">. </w:t>
      </w:r>
      <w:r w:rsidRPr="00D463EC">
        <w:rPr>
          <w:rFonts w:eastAsia="仿宋_GB2312"/>
          <w:sz w:val="32"/>
          <w:szCs w:val="32"/>
        </w:rPr>
        <w:t>流行病学</w:t>
      </w:r>
      <w:r w:rsidRPr="00D463EC">
        <w:rPr>
          <w:rFonts w:eastAsia="仿宋_GB2312"/>
          <w:sz w:val="32"/>
          <w:szCs w:val="32"/>
        </w:rPr>
        <w:t xml:space="preserve">[M]. </w:t>
      </w:r>
      <w:r w:rsidRPr="00D463EC">
        <w:rPr>
          <w:rFonts w:eastAsia="仿宋_GB2312"/>
          <w:sz w:val="32"/>
          <w:szCs w:val="32"/>
        </w:rPr>
        <w:t>第</w:t>
      </w:r>
      <w:r w:rsidRPr="00D463EC">
        <w:rPr>
          <w:rFonts w:eastAsia="仿宋_GB2312"/>
          <w:sz w:val="32"/>
          <w:szCs w:val="32"/>
        </w:rPr>
        <w:t>8</w:t>
      </w:r>
      <w:r w:rsidRPr="00D463EC">
        <w:rPr>
          <w:rFonts w:eastAsia="仿宋_GB2312"/>
          <w:sz w:val="32"/>
          <w:szCs w:val="32"/>
        </w:rPr>
        <w:t>版</w:t>
      </w:r>
      <w:r w:rsidRPr="00D463EC">
        <w:rPr>
          <w:rFonts w:eastAsia="仿宋_GB2312"/>
          <w:sz w:val="32"/>
          <w:szCs w:val="32"/>
        </w:rPr>
        <w:t>.</w:t>
      </w:r>
      <w:r w:rsidRPr="00D463EC">
        <w:rPr>
          <w:rFonts w:eastAsia="仿宋_GB2312"/>
          <w:sz w:val="32"/>
          <w:szCs w:val="32"/>
        </w:rPr>
        <w:t>人民卫生出版社</w:t>
      </w:r>
      <w:r w:rsidRPr="00D463EC">
        <w:rPr>
          <w:rFonts w:eastAsia="仿宋_GB2312"/>
          <w:sz w:val="32"/>
          <w:szCs w:val="32"/>
        </w:rPr>
        <w:t>, 2017.</w:t>
      </w:r>
    </w:p>
    <w:p w:rsidR="00CB546B" w:rsidRPr="00D463EC" w:rsidRDefault="00CB546B" w:rsidP="00D463EC">
      <w:pPr>
        <w:spacing w:line="480" w:lineRule="exact"/>
        <w:ind w:firstLineChars="200" w:firstLine="640"/>
        <w:contextualSpacing/>
        <w:rPr>
          <w:rFonts w:eastAsia="仿宋_GB2312"/>
          <w:sz w:val="32"/>
          <w:szCs w:val="32"/>
        </w:rPr>
      </w:pPr>
      <w:r w:rsidRPr="00D463EC">
        <w:rPr>
          <w:rFonts w:eastAsia="仿宋_GB2312"/>
          <w:sz w:val="32"/>
          <w:szCs w:val="32"/>
        </w:rPr>
        <w:t>[11]</w:t>
      </w:r>
      <w:r w:rsidRPr="00D463EC">
        <w:t xml:space="preserve"> </w:t>
      </w:r>
      <w:r w:rsidRPr="00D463EC">
        <w:rPr>
          <w:rFonts w:eastAsia="仿宋_GB2312"/>
          <w:sz w:val="32"/>
          <w:szCs w:val="32"/>
        </w:rPr>
        <w:t>Hamashima C. Cancer screening guidelines and policy making: 15 years of experience in cancer screening guideline development in Japan. Jpn J Clin Oncol. 2018 Mar 1;48(3):278-286. doi: 10.1093/jjco/hyx190. PMID: 29315389.</w:t>
      </w:r>
    </w:p>
    <w:p w:rsidR="00CB546B" w:rsidRPr="00D463EC" w:rsidRDefault="00CB546B" w:rsidP="00CB546B"/>
    <w:p w:rsidR="00D463EC" w:rsidRPr="00D463EC" w:rsidRDefault="00D463EC" w:rsidP="004871DF">
      <w:pPr>
        <w:overflowPunct w:val="0"/>
        <w:spacing w:line="500" w:lineRule="exact"/>
        <w:rPr>
          <w:rFonts w:eastAsia="仿宋_GB2312"/>
          <w:color w:val="000000"/>
          <w:sz w:val="32"/>
          <w:szCs w:val="32"/>
        </w:rPr>
      </w:pPr>
      <w:bookmarkStart w:id="1" w:name="_GoBack"/>
      <w:bookmarkEnd w:id="1"/>
    </w:p>
    <w:sectPr w:rsidR="00D463EC" w:rsidRPr="00D463EC" w:rsidSect="0060713A">
      <w:headerReference w:type="even" r:id="rId8"/>
      <w:headerReference w:type="default" r:id="rId9"/>
      <w:footerReference w:type="even" r:id="rId10"/>
      <w:footerReference w:type="default" r:id="rId11"/>
      <w:pgSz w:w="11906" w:h="16838"/>
      <w:pgMar w:top="1701" w:right="1588" w:bottom="1701" w:left="1588" w:header="851" w:footer="1191" w:gutter="0"/>
      <w:pgNumType w:start="1" w:chapStyle="1" w:chapSep="em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38E" w:rsidRDefault="00EF538E" w:rsidP="003079E8">
      <w:r>
        <w:separator/>
      </w:r>
    </w:p>
  </w:endnote>
  <w:endnote w:type="continuationSeparator" w:id="0">
    <w:p w:rsidR="00EF538E" w:rsidRDefault="00EF538E" w:rsidP="0030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dobe 仿宋 Std R">
    <w:altName w:val="仿宋"/>
    <w:charset w:val="86"/>
    <w:family w:val="roman"/>
    <w:pitch w:val="default"/>
    <w:sig w:usb0="00000001" w:usb1="0A0F1810" w:usb2="00000016" w:usb3="00000000" w:csb0="00060007"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8F" w:rsidRPr="00B61E5F" w:rsidRDefault="00827F3D" w:rsidP="00B61E5F">
    <w:pPr>
      <w:pStyle w:val="a5"/>
      <w:numPr>
        <w:ilvl w:val="0"/>
        <w:numId w:val="16"/>
      </w:numPr>
      <w:rPr>
        <w:rFonts w:ascii="Times New Roman" w:hAnsi="Times New Roman" w:cs="Times New Roman"/>
        <w:sz w:val="28"/>
        <w:szCs w:val="28"/>
      </w:rPr>
    </w:pPr>
    <w:sdt>
      <w:sdtPr>
        <w:id w:val="237143137"/>
        <w:docPartObj>
          <w:docPartGallery w:val="Page Numbers (Bottom of Page)"/>
          <w:docPartUnique/>
        </w:docPartObj>
      </w:sdtPr>
      <w:sdtEndPr>
        <w:rPr>
          <w:rFonts w:ascii="Times New Roman" w:hAnsi="Times New Roman" w:cs="Times New Roman"/>
          <w:sz w:val="28"/>
          <w:szCs w:val="28"/>
        </w:rPr>
      </w:sdtEndPr>
      <w:sdtContent>
        <w:r w:rsidR="001A4F78" w:rsidRPr="001A4F78">
          <w:rPr>
            <w:rFonts w:ascii="Times New Roman" w:hAnsi="Times New Roman" w:cs="Times New Roman"/>
            <w:sz w:val="28"/>
            <w:szCs w:val="28"/>
          </w:rPr>
          <w:fldChar w:fldCharType="begin"/>
        </w:r>
        <w:r w:rsidR="001A4F78" w:rsidRPr="001A4F78">
          <w:rPr>
            <w:rFonts w:ascii="Times New Roman" w:hAnsi="Times New Roman" w:cs="Times New Roman"/>
            <w:sz w:val="28"/>
            <w:szCs w:val="28"/>
          </w:rPr>
          <w:instrText>PAGE   \* MERGEFORMAT</w:instrText>
        </w:r>
        <w:r w:rsidR="001A4F78" w:rsidRPr="001A4F78">
          <w:rPr>
            <w:rFonts w:ascii="Times New Roman" w:hAnsi="Times New Roman" w:cs="Times New Roman"/>
            <w:sz w:val="28"/>
            <w:szCs w:val="28"/>
          </w:rPr>
          <w:fldChar w:fldCharType="separate"/>
        </w:r>
        <w:r w:rsidR="00515118" w:rsidRPr="00515118">
          <w:rPr>
            <w:rFonts w:ascii="Times New Roman" w:hAnsi="Times New Roman" w:cs="Times New Roman"/>
            <w:noProof/>
            <w:sz w:val="28"/>
            <w:szCs w:val="28"/>
            <w:lang w:val="zh-CN"/>
          </w:rPr>
          <w:t>12</w:t>
        </w:r>
        <w:r w:rsidR="001A4F78" w:rsidRPr="001A4F78">
          <w:rPr>
            <w:rFonts w:ascii="Times New Roman" w:hAnsi="Times New Roman" w:cs="Times New Roman"/>
            <w:sz w:val="28"/>
            <w:szCs w:val="28"/>
          </w:rPr>
          <w:fldChar w:fldCharType="end"/>
        </w:r>
        <w:r w:rsidR="001A4F78" w:rsidRPr="001A4F78">
          <w:rPr>
            <w:rFonts w:ascii="Times New Roman" w:hAnsi="Times New Roman" w:cs="Times New Roman"/>
            <w:sz w:val="28"/>
            <w:szCs w:val="28"/>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54091"/>
      <w:docPartObj>
        <w:docPartGallery w:val="Page Numbers (Bottom of Page)"/>
        <w:docPartUnique/>
      </w:docPartObj>
    </w:sdtPr>
    <w:sdtEndPr>
      <w:rPr>
        <w:rFonts w:ascii="Times New Roman" w:hAnsi="Times New Roman" w:cs="Times New Roman"/>
        <w:sz w:val="28"/>
        <w:szCs w:val="28"/>
      </w:rPr>
    </w:sdtEndPr>
    <w:sdtContent>
      <w:p w:rsidR="0078788F" w:rsidRPr="00B61E5F" w:rsidRDefault="001A4F78" w:rsidP="00B61E5F">
        <w:pPr>
          <w:pStyle w:val="a5"/>
          <w:numPr>
            <w:ilvl w:val="0"/>
            <w:numId w:val="19"/>
          </w:numPr>
          <w:jc w:val="right"/>
          <w:rPr>
            <w:rFonts w:ascii="Times New Roman" w:hAnsi="Times New Roman" w:cs="Times New Roman"/>
            <w:sz w:val="28"/>
            <w:szCs w:val="28"/>
          </w:rPr>
        </w:pPr>
        <w:r w:rsidRPr="001A4F78">
          <w:rPr>
            <w:rFonts w:ascii="Times New Roman" w:hAnsi="Times New Roman" w:cs="Times New Roman"/>
            <w:sz w:val="28"/>
            <w:szCs w:val="28"/>
          </w:rPr>
          <w:fldChar w:fldCharType="begin"/>
        </w:r>
        <w:r w:rsidRPr="001A4F78">
          <w:rPr>
            <w:rFonts w:ascii="Times New Roman" w:hAnsi="Times New Roman" w:cs="Times New Roman"/>
            <w:sz w:val="28"/>
            <w:szCs w:val="28"/>
          </w:rPr>
          <w:instrText>PAGE   \* MERGEFORMAT</w:instrText>
        </w:r>
        <w:r w:rsidRPr="001A4F78">
          <w:rPr>
            <w:rFonts w:ascii="Times New Roman" w:hAnsi="Times New Roman" w:cs="Times New Roman"/>
            <w:sz w:val="28"/>
            <w:szCs w:val="28"/>
          </w:rPr>
          <w:fldChar w:fldCharType="separate"/>
        </w:r>
        <w:r w:rsidR="00515118" w:rsidRPr="00515118">
          <w:rPr>
            <w:rFonts w:ascii="Times New Roman" w:hAnsi="Times New Roman" w:cs="Times New Roman"/>
            <w:noProof/>
            <w:sz w:val="28"/>
            <w:szCs w:val="28"/>
            <w:lang w:val="zh-CN"/>
          </w:rPr>
          <w:t>13</w:t>
        </w:r>
        <w:r w:rsidRPr="001A4F78">
          <w:rPr>
            <w:rFonts w:ascii="Times New Roman" w:hAnsi="Times New Roman" w:cs="Times New Roman"/>
            <w:sz w:val="28"/>
            <w:szCs w:val="28"/>
          </w:rPr>
          <w:fldChar w:fldCharType="end"/>
        </w:r>
        <w:r w:rsidRPr="001A4F78">
          <w:rPr>
            <w:rFonts w:ascii="Times New Roman" w:hAnsi="Times New Roman" w:cs="Times New Roman"/>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38E" w:rsidRDefault="00EF538E" w:rsidP="003079E8">
      <w:r>
        <w:separator/>
      </w:r>
    </w:p>
  </w:footnote>
  <w:footnote w:type="continuationSeparator" w:id="0">
    <w:p w:rsidR="00EF538E" w:rsidRDefault="00EF538E" w:rsidP="00307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670" w:rsidRDefault="00B52670" w:rsidP="00134ED0">
    <w:pPr>
      <w:pStyle w:val="a3"/>
      <w:pBdr>
        <w:bottom w:val="none" w:sz="0" w:space="0" w:color="auto"/>
      </w:pBdr>
    </w:pPr>
  </w:p>
  <w:p w:rsidR="0078788F" w:rsidRDefault="0078788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670" w:rsidRPr="00D96564" w:rsidRDefault="00B52670" w:rsidP="00134ED0">
    <w:pPr>
      <w:pStyle w:val="a3"/>
      <w:pBdr>
        <w:bottom w:val="none" w:sz="0" w:space="0" w:color="auto"/>
      </w:pBdr>
      <w:rPr>
        <w:rFonts w:ascii="Times New Roman" w:hAnsi="Times New Roman" w:cs="Times New Roman"/>
        <w:sz w:val="28"/>
        <w:szCs w:val="28"/>
      </w:rPr>
    </w:pPr>
  </w:p>
  <w:p w:rsidR="0078788F" w:rsidRDefault="0078788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7BEA"/>
    <w:multiLevelType w:val="hybridMultilevel"/>
    <w:tmpl w:val="29C6E3D6"/>
    <w:lvl w:ilvl="0" w:tplc="02F4B40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4901CF8"/>
    <w:multiLevelType w:val="multilevel"/>
    <w:tmpl w:val="14901CF8"/>
    <w:lvl w:ilvl="0">
      <w:start w:val="1"/>
      <w:numFmt w:val="decimal"/>
      <w:lvlText w:val="%1．"/>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2A00A7"/>
    <w:multiLevelType w:val="hybridMultilevel"/>
    <w:tmpl w:val="2B4EAB08"/>
    <w:lvl w:ilvl="0" w:tplc="EAF09A8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CB7C9B"/>
    <w:multiLevelType w:val="singleLevel"/>
    <w:tmpl w:val="1ECB7C9B"/>
    <w:lvl w:ilvl="0">
      <w:start w:val="3"/>
      <w:numFmt w:val="chineseCounting"/>
      <w:suff w:val="nothing"/>
      <w:lvlText w:val="%1、"/>
      <w:lvlJc w:val="left"/>
      <w:rPr>
        <w:rFonts w:hint="eastAsia"/>
      </w:rPr>
    </w:lvl>
  </w:abstractNum>
  <w:abstractNum w:abstractNumId="4" w15:restartNumberingAfterBreak="0">
    <w:nsid w:val="20343560"/>
    <w:multiLevelType w:val="multilevel"/>
    <w:tmpl w:val="20343560"/>
    <w:lvl w:ilvl="0">
      <w:start w:val="1"/>
      <w:numFmt w:val="bullet"/>
      <w:lvlText w:val=""/>
      <w:lvlJc w:val="left"/>
      <w:pPr>
        <w:ind w:left="1260" w:hanging="420"/>
      </w:pPr>
      <w:rPr>
        <w:rFonts w:ascii="Wingdings 2" w:eastAsia="方正小标宋简体" w:hAnsi="Wingdings 2" w:hint="default"/>
        <w:color w:val="00000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 w15:restartNumberingAfterBreak="0">
    <w:nsid w:val="257E1BB0"/>
    <w:multiLevelType w:val="multilevel"/>
    <w:tmpl w:val="257E1BB0"/>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2AAC3D6E"/>
    <w:multiLevelType w:val="hybridMultilevel"/>
    <w:tmpl w:val="13F4DE32"/>
    <w:lvl w:ilvl="0" w:tplc="BE5A2AFA">
      <w:numFmt w:val="bullet"/>
      <w:lvlText w:val="—"/>
      <w:lvlJc w:val="left"/>
      <w:pPr>
        <w:ind w:left="360" w:hanging="360"/>
      </w:pPr>
      <w:rPr>
        <w:rFonts w:ascii="Times New Roman" w:eastAsia="等线" w:hAnsi="Times New Roman" w:cs="Times New Roman"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3E5064"/>
    <w:multiLevelType w:val="hybridMultilevel"/>
    <w:tmpl w:val="FE6E7C9E"/>
    <w:lvl w:ilvl="0" w:tplc="17FA2D84">
      <w:start w:val="8"/>
      <w:numFmt w:val="bullet"/>
      <w:lvlText w:val="—"/>
      <w:lvlJc w:val="left"/>
      <w:pPr>
        <w:ind w:left="360" w:hanging="360"/>
      </w:pPr>
      <w:rPr>
        <w:rFonts w:ascii="Times New Roman" w:eastAsia="等线" w:hAnsi="Times New Roman" w:cs="Times New Roman" w:hint="default"/>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5CC1BE4"/>
    <w:multiLevelType w:val="multilevel"/>
    <w:tmpl w:val="35CC1BE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6336573"/>
    <w:multiLevelType w:val="hybridMultilevel"/>
    <w:tmpl w:val="9E604E68"/>
    <w:lvl w:ilvl="0" w:tplc="FE84C412">
      <w:numFmt w:val="bullet"/>
      <w:lvlText w:val="—"/>
      <w:lvlJc w:val="left"/>
      <w:pPr>
        <w:ind w:left="360" w:hanging="360"/>
      </w:pPr>
      <w:rPr>
        <w:rFonts w:ascii="宋体" w:eastAsia="宋体" w:hAnsi="宋体" w:cs="Times New Roman" w:hint="eastAsia"/>
        <w:color w:val="FFFFFF"/>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96C00AF"/>
    <w:multiLevelType w:val="multilevel"/>
    <w:tmpl w:val="496C00AF"/>
    <w:lvl w:ilvl="0">
      <w:start w:val="1"/>
      <w:numFmt w:val="decimal"/>
      <w:lvlText w:val="%1."/>
      <w:lvlJc w:val="left"/>
      <w:pPr>
        <w:ind w:left="1080" w:hanging="440"/>
      </w:p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11" w15:restartNumberingAfterBreak="0">
    <w:nsid w:val="51240AD4"/>
    <w:multiLevelType w:val="hybridMultilevel"/>
    <w:tmpl w:val="8B3E3080"/>
    <w:lvl w:ilvl="0" w:tplc="1BA8612E">
      <w:start w:val="1"/>
      <w:numFmt w:val="decimal"/>
      <w:lvlText w:val="%1."/>
      <w:lvlJc w:val="left"/>
      <w:pPr>
        <w:ind w:left="1000" w:hanging="360"/>
      </w:pPr>
      <w:rPr>
        <w:rFonts w:ascii="Times New Roman" w:hAnsi="Times New Roman"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530EF510"/>
    <w:multiLevelType w:val="singleLevel"/>
    <w:tmpl w:val="530EF510"/>
    <w:lvl w:ilvl="0">
      <w:start w:val="2"/>
      <w:numFmt w:val="decimal"/>
      <w:suff w:val="nothing"/>
      <w:lvlText w:val="%1."/>
      <w:lvlJc w:val="left"/>
    </w:lvl>
  </w:abstractNum>
  <w:abstractNum w:abstractNumId="13" w15:restartNumberingAfterBreak="0">
    <w:nsid w:val="531833DE"/>
    <w:multiLevelType w:val="singleLevel"/>
    <w:tmpl w:val="531833DE"/>
    <w:lvl w:ilvl="0">
      <w:start w:val="7"/>
      <w:numFmt w:val="decimal"/>
      <w:suff w:val="nothing"/>
      <w:lvlText w:val="%1."/>
      <w:lvlJc w:val="left"/>
    </w:lvl>
  </w:abstractNum>
  <w:abstractNum w:abstractNumId="14" w15:restartNumberingAfterBreak="0">
    <w:nsid w:val="5ADA3302"/>
    <w:multiLevelType w:val="hybridMultilevel"/>
    <w:tmpl w:val="2DF44F5E"/>
    <w:lvl w:ilvl="0" w:tplc="5F06C8C6">
      <w:numFmt w:val="bullet"/>
      <w:lvlText w:val="—"/>
      <w:lvlJc w:val="left"/>
      <w:pPr>
        <w:ind w:left="360" w:hanging="360"/>
      </w:pPr>
      <w:rPr>
        <w:rFonts w:ascii="Times New Roman" w:eastAsia="等线" w:hAnsi="Times New Roman" w:cs="Times New Roman"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11E5EAE"/>
    <w:multiLevelType w:val="multilevel"/>
    <w:tmpl w:val="711E5EAE"/>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7F662D84"/>
    <w:multiLevelType w:val="singleLevel"/>
    <w:tmpl w:val="7F662D84"/>
    <w:lvl w:ilvl="0">
      <w:start w:val="10"/>
      <w:numFmt w:val="decimal"/>
      <w:lvlText w:val="%1."/>
      <w:lvlJc w:val="left"/>
      <w:pPr>
        <w:tabs>
          <w:tab w:val="left" w:pos="312"/>
        </w:tabs>
      </w:pPr>
    </w:lvl>
  </w:abstractNum>
  <w:abstractNum w:abstractNumId="17" w15:restartNumberingAfterBreak="0">
    <w:nsid w:val="7F8C7A35"/>
    <w:multiLevelType w:val="multilevel"/>
    <w:tmpl w:val="7F8C7A35"/>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7"/>
  </w:num>
  <w:num w:numId="2">
    <w:abstractNumId w:val="15"/>
  </w:num>
  <w:num w:numId="3">
    <w:abstractNumId w:val="3"/>
  </w:num>
  <w:num w:numId="4">
    <w:abstractNumId w:val="16"/>
  </w:num>
  <w:num w:numId="5">
    <w:abstractNumId w:val="13"/>
  </w:num>
  <w:num w:numId="6">
    <w:abstractNumId w:val="12"/>
  </w:num>
  <w:num w:numId="7">
    <w:abstractNumId w:val="5"/>
  </w:num>
  <w:num w:numId="8">
    <w:abstractNumId w:val="14"/>
  </w:num>
  <w:num w:numId="9">
    <w:abstractNumId w:val="6"/>
  </w:num>
  <w:num w:numId="10">
    <w:abstractNumId w:val="8"/>
  </w:num>
  <w:num w:numId="11">
    <w:abstractNumId w:val="4"/>
  </w:num>
  <w:num w:numId="12">
    <w:abstractNumId w:val="0"/>
  </w:num>
  <w:num w:numId="13">
    <w:abstractNumId w:val="11"/>
  </w:num>
  <w:num w:numId="14">
    <w:abstractNumId w:val="9"/>
  </w:num>
  <w:num w:numId="15">
    <w:abstractNumId w:val="10"/>
  </w:num>
  <w:num w:numId="16">
    <w:abstractNumId w:val="2"/>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123"/>
    <w:rsid w:val="00002AAD"/>
    <w:rsid w:val="000146D7"/>
    <w:rsid w:val="000329DA"/>
    <w:rsid w:val="000A63C1"/>
    <w:rsid w:val="000A6475"/>
    <w:rsid w:val="000D32E0"/>
    <w:rsid w:val="000D4E34"/>
    <w:rsid w:val="00106A9D"/>
    <w:rsid w:val="00114E64"/>
    <w:rsid w:val="00122FBD"/>
    <w:rsid w:val="00134ED0"/>
    <w:rsid w:val="00137012"/>
    <w:rsid w:val="00141273"/>
    <w:rsid w:val="00150E66"/>
    <w:rsid w:val="00151932"/>
    <w:rsid w:val="00184973"/>
    <w:rsid w:val="00191F7A"/>
    <w:rsid w:val="001A4F78"/>
    <w:rsid w:val="001A70F6"/>
    <w:rsid w:val="001B78C4"/>
    <w:rsid w:val="001C4F2E"/>
    <w:rsid w:val="001D11D9"/>
    <w:rsid w:val="001D1A12"/>
    <w:rsid w:val="001F0DF0"/>
    <w:rsid w:val="001F1046"/>
    <w:rsid w:val="00201F93"/>
    <w:rsid w:val="002062EA"/>
    <w:rsid w:val="00217E23"/>
    <w:rsid w:val="00217F03"/>
    <w:rsid w:val="00222BB7"/>
    <w:rsid w:val="00230AE5"/>
    <w:rsid w:val="00244D02"/>
    <w:rsid w:val="00252B40"/>
    <w:rsid w:val="002548F3"/>
    <w:rsid w:val="00294F3C"/>
    <w:rsid w:val="00295409"/>
    <w:rsid w:val="00295F3E"/>
    <w:rsid w:val="002B2CA7"/>
    <w:rsid w:val="002D5575"/>
    <w:rsid w:val="002F062A"/>
    <w:rsid w:val="002F557C"/>
    <w:rsid w:val="003079E8"/>
    <w:rsid w:val="003100D4"/>
    <w:rsid w:val="003438E9"/>
    <w:rsid w:val="0035732D"/>
    <w:rsid w:val="003663AD"/>
    <w:rsid w:val="0036717C"/>
    <w:rsid w:val="003832CA"/>
    <w:rsid w:val="00386FA0"/>
    <w:rsid w:val="00390CE2"/>
    <w:rsid w:val="00393EFB"/>
    <w:rsid w:val="003953C8"/>
    <w:rsid w:val="003B7510"/>
    <w:rsid w:val="003F0E18"/>
    <w:rsid w:val="004067A3"/>
    <w:rsid w:val="00412EF1"/>
    <w:rsid w:val="004150EE"/>
    <w:rsid w:val="0041585F"/>
    <w:rsid w:val="00417976"/>
    <w:rsid w:val="004214A4"/>
    <w:rsid w:val="004246F2"/>
    <w:rsid w:val="00436D1B"/>
    <w:rsid w:val="004627AE"/>
    <w:rsid w:val="00480C25"/>
    <w:rsid w:val="00482972"/>
    <w:rsid w:val="00483ECD"/>
    <w:rsid w:val="004871DF"/>
    <w:rsid w:val="00494D22"/>
    <w:rsid w:val="004A31E1"/>
    <w:rsid w:val="004A429D"/>
    <w:rsid w:val="004B1017"/>
    <w:rsid w:val="004F2884"/>
    <w:rsid w:val="004F486F"/>
    <w:rsid w:val="005040E6"/>
    <w:rsid w:val="00510DB3"/>
    <w:rsid w:val="00515118"/>
    <w:rsid w:val="00580051"/>
    <w:rsid w:val="005C6177"/>
    <w:rsid w:val="005D5360"/>
    <w:rsid w:val="005D5874"/>
    <w:rsid w:val="005D71E7"/>
    <w:rsid w:val="0060513F"/>
    <w:rsid w:val="0060713A"/>
    <w:rsid w:val="00615B40"/>
    <w:rsid w:val="0061625D"/>
    <w:rsid w:val="00616661"/>
    <w:rsid w:val="00617194"/>
    <w:rsid w:val="0063084F"/>
    <w:rsid w:val="00631AA9"/>
    <w:rsid w:val="00635BFE"/>
    <w:rsid w:val="006376F5"/>
    <w:rsid w:val="00640B84"/>
    <w:rsid w:val="00641D70"/>
    <w:rsid w:val="006515C5"/>
    <w:rsid w:val="00651DCB"/>
    <w:rsid w:val="00664817"/>
    <w:rsid w:val="0066775D"/>
    <w:rsid w:val="00690E61"/>
    <w:rsid w:val="006C0F4B"/>
    <w:rsid w:val="006E697B"/>
    <w:rsid w:val="00710650"/>
    <w:rsid w:val="007459D2"/>
    <w:rsid w:val="00745B62"/>
    <w:rsid w:val="0078788F"/>
    <w:rsid w:val="0079267F"/>
    <w:rsid w:val="007A5573"/>
    <w:rsid w:val="007A7B0C"/>
    <w:rsid w:val="007B226A"/>
    <w:rsid w:val="00807022"/>
    <w:rsid w:val="00814D41"/>
    <w:rsid w:val="00821123"/>
    <w:rsid w:val="00822C26"/>
    <w:rsid w:val="00822C68"/>
    <w:rsid w:val="00827ED2"/>
    <w:rsid w:val="00831214"/>
    <w:rsid w:val="00844620"/>
    <w:rsid w:val="00857E8D"/>
    <w:rsid w:val="00860D78"/>
    <w:rsid w:val="00866BF0"/>
    <w:rsid w:val="00875AE8"/>
    <w:rsid w:val="00894CA1"/>
    <w:rsid w:val="008A50D5"/>
    <w:rsid w:val="008A7314"/>
    <w:rsid w:val="008C7889"/>
    <w:rsid w:val="008D589E"/>
    <w:rsid w:val="008E64B6"/>
    <w:rsid w:val="00962F71"/>
    <w:rsid w:val="0099578F"/>
    <w:rsid w:val="009C0679"/>
    <w:rsid w:val="009C7F29"/>
    <w:rsid w:val="009D2C2D"/>
    <w:rsid w:val="009D5668"/>
    <w:rsid w:val="009D751B"/>
    <w:rsid w:val="009E0C86"/>
    <w:rsid w:val="009F46C1"/>
    <w:rsid w:val="00A14F93"/>
    <w:rsid w:val="00A16C43"/>
    <w:rsid w:val="00A21DA8"/>
    <w:rsid w:val="00A346B7"/>
    <w:rsid w:val="00A650B1"/>
    <w:rsid w:val="00A81F0C"/>
    <w:rsid w:val="00AA2CB7"/>
    <w:rsid w:val="00AA7E86"/>
    <w:rsid w:val="00AF37DC"/>
    <w:rsid w:val="00B2671F"/>
    <w:rsid w:val="00B2724F"/>
    <w:rsid w:val="00B27B9C"/>
    <w:rsid w:val="00B35B77"/>
    <w:rsid w:val="00B52670"/>
    <w:rsid w:val="00B539BD"/>
    <w:rsid w:val="00B61E5F"/>
    <w:rsid w:val="00B7255B"/>
    <w:rsid w:val="00BB26D7"/>
    <w:rsid w:val="00BD3433"/>
    <w:rsid w:val="00BD5BB8"/>
    <w:rsid w:val="00BE6AAA"/>
    <w:rsid w:val="00BF33A6"/>
    <w:rsid w:val="00C10FD2"/>
    <w:rsid w:val="00C25443"/>
    <w:rsid w:val="00C421D8"/>
    <w:rsid w:val="00C77C14"/>
    <w:rsid w:val="00CA15D0"/>
    <w:rsid w:val="00CB40F3"/>
    <w:rsid w:val="00CB546B"/>
    <w:rsid w:val="00CC15CF"/>
    <w:rsid w:val="00CC7810"/>
    <w:rsid w:val="00CD7359"/>
    <w:rsid w:val="00CE7716"/>
    <w:rsid w:val="00CF3E07"/>
    <w:rsid w:val="00D0654B"/>
    <w:rsid w:val="00D2114A"/>
    <w:rsid w:val="00D22218"/>
    <w:rsid w:val="00D31360"/>
    <w:rsid w:val="00D364F7"/>
    <w:rsid w:val="00D463EC"/>
    <w:rsid w:val="00D57B53"/>
    <w:rsid w:val="00D9244F"/>
    <w:rsid w:val="00D941BF"/>
    <w:rsid w:val="00D96564"/>
    <w:rsid w:val="00DA3197"/>
    <w:rsid w:val="00DB285C"/>
    <w:rsid w:val="00DB63E0"/>
    <w:rsid w:val="00DC2A13"/>
    <w:rsid w:val="00DE4529"/>
    <w:rsid w:val="00DF1104"/>
    <w:rsid w:val="00DF487B"/>
    <w:rsid w:val="00DF6A15"/>
    <w:rsid w:val="00E1589F"/>
    <w:rsid w:val="00E2148D"/>
    <w:rsid w:val="00E42413"/>
    <w:rsid w:val="00E67B32"/>
    <w:rsid w:val="00E84CB3"/>
    <w:rsid w:val="00E917E5"/>
    <w:rsid w:val="00EC5105"/>
    <w:rsid w:val="00EF538E"/>
    <w:rsid w:val="00F017EC"/>
    <w:rsid w:val="00F1084F"/>
    <w:rsid w:val="00F30FB1"/>
    <w:rsid w:val="00F31C51"/>
    <w:rsid w:val="00F32980"/>
    <w:rsid w:val="00F44E8C"/>
    <w:rsid w:val="00F82827"/>
    <w:rsid w:val="00F83687"/>
    <w:rsid w:val="00F83D79"/>
    <w:rsid w:val="00F91F4F"/>
    <w:rsid w:val="00FA53B8"/>
    <w:rsid w:val="00FA576D"/>
    <w:rsid w:val="00FD71B3"/>
    <w:rsid w:val="00FE498C"/>
    <w:rsid w:val="00FE4E41"/>
    <w:rsid w:val="00FF31AA"/>
    <w:rsid w:val="00FF6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F5CAF1"/>
  <w15:chartTrackingRefBased/>
  <w15:docId w15:val="{CE99FC34-19A3-4001-AFFF-AB8E6C53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9E8"/>
    <w:pPr>
      <w:widowControl w:val="0"/>
      <w:jc w:val="both"/>
    </w:pPr>
    <w:rPr>
      <w:rFonts w:ascii="Times New Roman" w:eastAsia="宋体" w:hAnsi="Times New Roman" w:cs="Times New Roman"/>
      <w:szCs w:val="24"/>
    </w:rPr>
  </w:style>
  <w:style w:type="paragraph" w:styleId="1">
    <w:name w:val="heading 1"/>
    <w:basedOn w:val="a"/>
    <w:next w:val="a"/>
    <w:link w:val="10"/>
    <w:autoRedefine/>
    <w:qFormat/>
    <w:rsid w:val="002F557C"/>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0"/>
    <w:unhideWhenUsed/>
    <w:qFormat/>
    <w:rsid w:val="002F557C"/>
    <w:pPr>
      <w:keepNext/>
      <w:keepLines/>
      <w:spacing w:line="360" w:lineRule="auto"/>
      <w:ind w:firstLineChars="200" w:firstLine="200"/>
      <w:outlineLvl w:val="1"/>
    </w:pPr>
    <w:rPr>
      <w:rFonts w:asciiTheme="majorHAnsi" w:eastAsia="黑体" w:hAnsiTheme="majorHAnsi" w:cstheme="majorBidi"/>
      <w:bCs/>
      <w:sz w:val="32"/>
      <w:szCs w:val="32"/>
    </w:rPr>
  </w:style>
  <w:style w:type="paragraph" w:styleId="3">
    <w:name w:val="heading 3"/>
    <w:basedOn w:val="a"/>
    <w:next w:val="a"/>
    <w:link w:val="30"/>
    <w:qFormat/>
    <w:rsid w:val="00D2114A"/>
    <w:pPr>
      <w:keepNext/>
      <w:keepLines/>
      <w:spacing w:before="260" w:after="260" w:line="416" w:lineRule="auto"/>
      <w:outlineLvl w:val="2"/>
    </w:pPr>
    <w:rPr>
      <w:b/>
      <w:bCs/>
      <w:sz w:val="32"/>
      <w:szCs w:val="32"/>
    </w:rPr>
  </w:style>
  <w:style w:type="paragraph" w:styleId="4">
    <w:name w:val="heading 4"/>
    <w:basedOn w:val="a"/>
    <w:next w:val="a"/>
    <w:link w:val="40"/>
    <w:qFormat/>
    <w:rsid w:val="00D2114A"/>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0"/>
    <w:qFormat/>
    <w:rsid w:val="00D2114A"/>
    <w:pPr>
      <w:keepNext/>
      <w:keepLines/>
      <w:spacing w:before="280" w:after="290" w:line="376" w:lineRule="auto"/>
      <w:outlineLvl w:val="4"/>
    </w:pPr>
    <w:rPr>
      <w:b/>
      <w:bCs/>
      <w:sz w:val="28"/>
      <w:szCs w:val="28"/>
    </w:rPr>
  </w:style>
  <w:style w:type="paragraph" w:styleId="6">
    <w:name w:val="heading 6"/>
    <w:basedOn w:val="a"/>
    <w:next w:val="a"/>
    <w:link w:val="60"/>
    <w:qFormat/>
    <w:rsid w:val="00D2114A"/>
    <w:pPr>
      <w:keepNext/>
      <w:keepLines/>
      <w:spacing w:before="240" w:after="64" w:line="320" w:lineRule="auto"/>
      <w:outlineLvl w:val="5"/>
    </w:pPr>
    <w:rPr>
      <w:rFonts w:ascii="Calibri Light" w:hAnsi="Calibri Light"/>
      <w:b/>
      <w:bCs/>
      <w:sz w:val="24"/>
    </w:rPr>
  </w:style>
  <w:style w:type="paragraph" w:styleId="7">
    <w:name w:val="heading 7"/>
    <w:basedOn w:val="a"/>
    <w:next w:val="a"/>
    <w:link w:val="70"/>
    <w:qFormat/>
    <w:rsid w:val="00D2114A"/>
    <w:pPr>
      <w:keepNext/>
      <w:keepLines/>
      <w:spacing w:before="240" w:after="64" w:line="320" w:lineRule="auto"/>
      <w:outlineLvl w:val="6"/>
    </w:pPr>
    <w:rPr>
      <w:b/>
      <w:bCs/>
      <w:sz w:val="24"/>
    </w:rPr>
  </w:style>
  <w:style w:type="paragraph" w:styleId="8">
    <w:name w:val="heading 8"/>
    <w:basedOn w:val="a"/>
    <w:next w:val="a"/>
    <w:link w:val="80"/>
    <w:qFormat/>
    <w:rsid w:val="00D2114A"/>
    <w:pPr>
      <w:keepNext/>
      <w:keepLines/>
      <w:spacing w:before="240" w:after="64" w:line="320" w:lineRule="auto"/>
      <w:outlineLvl w:val="7"/>
    </w:pPr>
    <w:rPr>
      <w:rFonts w:ascii="Calibri Light" w:hAnsi="Calibri Light"/>
      <w:sz w:val="24"/>
    </w:rPr>
  </w:style>
  <w:style w:type="paragraph" w:styleId="9">
    <w:name w:val="heading 9"/>
    <w:basedOn w:val="a"/>
    <w:next w:val="a"/>
    <w:link w:val="90"/>
    <w:unhideWhenUsed/>
    <w:qFormat/>
    <w:rsid w:val="00D2114A"/>
    <w:pPr>
      <w:keepNext/>
      <w:keepLines/>
      <w:spacing w:before="240" w:after="64" w:line="320" w:lineRule="auto"/>
      <w:outlineLvl w:val="8"/>
    </w:pPr>
    <w:rPr>
      <w:rFonts w:ascii="等线 Light" w:eastAsia="等线 Light" w:hAnsi="等线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2F557C"/>
    <w:rPr>
      <w:b/>
      <w:bCs/>
      <w:kern w:val="44"/>
      <w:sz w:val="44"/>
      <w:szCs w:val="44"/>
    </w:rPr>
  </w:style>
  <w:style w:type="character" w:customStyle="1" w:styleId="20">
    <w:name w:val="标题 2 字符"/>
    <w:basedOn w:val="a0"/>
    <w:link w:val="2"/>
    <w:qFormat/>
    <w:rsid w:val="002F557C"/>
    <w:rPr>
      <w:rFonts w:asciiTheme="majorHAnsi" w:eastAsia="黑体" w:hAnsiTheme="majorHAnsi" w:cstheme="majorBidi"/>
      <w:bCs/>
      <w:sz w:val="32"/>
      <w:szCs w:val="32"/>
    </w:rPr>
  </w:style>
  <w:style w:type="character" w:customStyle="1" w:styleId="30">
    <w:name w:val="标题 3 字符"/>
    <w:basedOn w:val="a0"/>
    <w:link w:val="3"/>
    <w:qFormat/>
    <w:rsid w:val="00D2114A"/>
    <w:rPr>
      <w:rFonts w:ascii="Times New Roman" w:eastAsia="宋体" w:hAnsi="Times New Roman" w:cs="Times New Roman"/>
      <w:b/>
      <w:bCs/>
      <w:sz w:val="32"/>
      <w:szCs w:val="32"/>
    </w:rPr>
  </w:style>
  <w:style w:type="character" w:customStyle="1" w:styleId="40">
    <w:name w:val="标题 4 字符"/>
    <w:basedOn w:val="a0"/>
    <w:link w:val="4"/>
    <w:rsid w:val="00D2114A"/>
    <w:rPr>
      <w:rFonts w:ascii="Calibri Light" w:eastAsia="宋体" w:hAnsi="Calibri Light" w:cs="Times New Roman"/>
      <w:b/>
      <w:bCs/>
      <w:sz w:val="28"/>
      <w:szCs w:val="28"/>
    </w:rPr>
  </w:style>
  <w:style w:type="character" w:customStyle="1" w:styleId="50">
    <w:name w:val="标题 5 字符"/>
    <w:basedOn w:val="a0"/>
    <w:link w:val="5"/>
    <w:rsid w:val="00D2114A"/>
    <w:rPr>
      <w:rFonts w:ascii="Times New Roman" w:eastAsia="宋体" w:hAnsi="Times New Roman" w:cs="Times New Roman"/>
      <w:b/>
      <w:bCs/>
      <w:sz w:val="28"/>
      <w:szCs w:val="28"/>
    </w:rPr>
  </w:style>
  <w:style w:type="character" w:customStyle="1" w:styleId="60">
    <w:name w:val="标题 6 字符"/>
    <w:basedOn w:val="a0"/>
    <w:link w:val="6"/>
    <w:qFormat/>
    <w:rsid w:val="00D2114A"/>
    <w:rPr>
      <w:rFonts w:ascii="Calibri Light" w:eastAsia="宋体" w:hAnsi="Calibri Light" w:cs="Times New Roman"/>
      <w:b/>
      <w:bCs/>
      <w:sz w:val="24"/>
      <w:szCs w:val="24"/>
    </w:rPr>
  </w:style>
  <w:style w:type="character" w:customStyle="1" w:styleId="70">
    <w:name w:val="标题 7 字符"/>
    <w:basedOn w:val="a0"/>
    <w:link w:val="7"/>
    <w:qFormat/>
    <w:rsid w:val="00D2114A"/>
    <w:rPr>
      <w:rFonts w:ascii="Times New Roman" w:eastAsia="宋体" w:hAnsi="Times New Roman" w:cs="Times New Roman"/>
      <w:b/>
      <w:bCs/>
      <w:sz w:val="24"/>
      <w:szCs w:val="24"/>
    </w:rPr>
  </w:style>
  <w:style w:type="character" w:customStyle="1" w:styleId="80">
    <w:name w:val="标题 8 字符"/>
    <w:basedOn w:val="a0"/>
    <w:link w:val="8"/>
    <w:qFormat/>
    <w:rsid w:val="00D2114A"/>
    <w:rPr>
      <w:rFonts w:ascii="Calibri Light" w:eastAsia="宋体" w:hAnsi="Calibri Light" w:cs="Times New Roman"/>
      <w:sz w:val="24"/>
      <w:szCs w:val="24"/>
    </w:rPr>
  </w:style>
  <w:style w:type="character" w:customStyle="1" w:styleId="90">
    <w:name w:val="标题 9 字符"/>
    <w:basedOn w:val="a0"/>
    <w:link w:val="9"/>
    <w:rsid w:val="00D2114A"/>
    <w:rPr>
      <w:rFonts w:ascii="等线 Light" w:eastAsia="等线 Light" w:hAnsi="等线 Light" w:cs="Times New Roman"/>
      <w:szCs w:val="21"/>
    </w:rPr>
  </w:style>
  <w:style w:type="paragraph" w:styleId="a3">
    <w:name w:val="header"/>
    <w:basedOn w:val="a"/>
    <w:link w:val="a4"/>
    <w:unhideWhenUsed/>
    <w:qFormat/>
    <w:rsid w:val="003079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079E8"/>
    <w:rPr>
      <w:sz w:val="18"/>
      <w:szCs w:val="18"/>
    </w:rPr>
  </w:style>
  <w:style w:type="paragraph" w:styleId="a5">
    <w:name w:val="footer"/>
    <w:basedOn w:val="a"/>
    <w:link w:val="a6"/>
    <w:unhideWhenUsed/>
    <w:qFormat/>
    <w:rsid w:val="003079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3079E8"/>
    <w:rPr>
      <w:sz w:val="18"/>
      <w:szCs w:val="18"/>
    </w:rPr>
  </w:style>
  <w:style w:type="paragraph" w:styleId="a7">
    <w:name w:val="Normal (Web)"/>
    <w:basedOn w:val="a"/>
    <w:unhideWhenUsed/>
    <w:qFormat/>
    <w:rsid w:val="0079267F"/>
    <w:pPr>
      <w:widowControl/>
      <w:spacing w:before="100" w:beforeAutospacing="1" w:after="100" w:afterAutospacing="1"/>
      <w:jc w:val="left"/>
    </w:pPr>
    <w:rPr>
      <w:rFonts w:ascii="宋体" w:hAnsi="宋体" w:cs="宋体"/>
      <w:kern w:val="0"/>
      <w:sz w:val="24"/>
    </w:rPr>
  </w:style>
  <w:style w:type="paragraph" w:styleId="a8">
    <w:name w:val="Plain Text"/>
    <w:basedOn w:val="a"/>
    <w:link w:val="a9"/>
    <w:uiPriority w:val="99"/>
    <w:unhideWhenUsed/>
    <w:qFormat/>
    <w:rsid w:val="002F557C"/>
    <w:rPr>
      <w:rFonts w:ascii="宋体" w:hAnsi="Courier New" w:cs="Courier New"/>
      <w:szCs w:val="21"/>
    </w:rPr>
  </w:style>
  <w:style w:type="character" w:customStyle="1" w:styleId="a9">
    <w:name w:val="纯文本 字符"/>
    <w:basedOn w:val="a0"/>
    <w:link w:val="a8"/>
    <w:uiPriority w:val="99"/>
    <w:qFormat/>
    <w:rsid w:val="002F557C"/>
    <w:rPr>
      <w:rFonts w:ascii="宋体" w:eastAsia="宋体" w:hAnsi="Courier New" w:cs="Courier New"/>
      <w:szCs w:val="21"/>
    </w:rPr>
  </w:style>
  <w:style w:type="character" w:customStyle="1" w:styleId="FontStyle47">
    <w:name w:val="Font Style47"/>
    <w:autoRedefine/>
    <w:qFormat/>
    <w:rsid w:val="002F557C"/>
    <w:rPr>
      <w:rFonts w:ascii="Times New Roman" w:hAnsi="Times New Roman" w:cs="Times New Roman"/>
      <w:sz w:val="22"/>
      <w:szCs w:val="22"/>
    </w:rPr>
  </w:style>
  <w:style w:type="paragraph" w:styleId="aa">
    <w:name w:val="List Paragraph"/>
    <w:basedOn w:val="a"/>
    <w:autoRedefine/>
    <w:uiPriority w:val="34"/>
    <w:qFormat/>
    <w:rsid w:val="002F557C"/>
    <w:pPr>
      <w:ind w:firstLineChars="200" w:firstLine="420"/>
    </w:pPr>
    <w:rPr>
      <w:rFonts w:asciiTheme="minorHAnsi" w:eastAsiaTheme="minorEastAsia" w:hAnsiTheme="minorHAnsi" w:cstheme="minorBidi"/>
      <w:szCs w:val="22"/>
    </w:rPr>
  </w:style>
  <w:style w:type="paragraph" w:styleId="ab">
    <w:name w:val="Balloon Text"/>
    <w:basedOn w:val="a"/>
    <w:link w:val="ac"/>
    <w:unhideWhenUsed/>
    <w:qFormat/>
    <w:rsid w:val="00A81F0C"/>
    <w:rPr>
      <w:sz w:val="18"/>
      <w:szCs w:val="18"/>
    </w:rPr>
  </w:style>
  <w:style w:type="character" w:customStyle="1" w:styleId="ac">
    <w:name w:val="批注框文本 字符"/>
    <w:basedOn w:val="a0"/>
    <w:link w:val="ab"/>
    <w:rsid w:val="00A81F0C"/>
    <w:rPr>
      <w:rFonts w:ascii="Times New Roman" w:eastAsia="宋体" w:hAnsi="Times New Roman" w:cs="Times New Roman"/>
      <w:sz w:val="18"/>
      <w:szCs w:val="18"/>
    </w:rPr>
  </w:style>
  <w:style w:type="paragraph" w:styleId="ad">
    <w:name w:val="No Spacing"/>
    <w:qFormat/>
    <w:rsid w:val="00FA576D"/>
    <w:pPr>
      <w:widowControl w:val="0"/>
      <w:jc w:val="both"/>
    </w:pPr>
    <w:rPr>
      <w:rFonts w:ascii="Times New Roman" w:eastAsia="宋体" w:hAnsi="Times New Roman" w:cs="Times New Roman"/>
      <w:szCs w:val="24"/>
    </w:rPr>
  </w:style>
  <w:style w:type="paragraph" w:customStyle="1" w:styleId="21">
    <w:name w:val="列出段落2"/>
    <w:basedOn w:val="a"/>
    <w:qFormat/>
    <w:rsid w:val="00FA576D"/>
    <w:pPr>
      <w:widowControl/>
      <w:ind w:firstLineChars="200" w:firstLine="420"/>
      <w:jc w:val="left"/>
    </w:pPr>
    <w:rPr>
      <w:rFonts w:ascii="宋体" w:hAnsi="宋体" w:cs="宋体"/>
      <w:kern w:val="0"/>
      <w:sz w:val="24"/>
    </w:rPr>
  </w:style>
  <w:style w:type="paragraph" w:styleId="ae">
    <w:name w:val="annotation text"/>
    <w:basedOn w:val="a"/>
    <w:link w:val="af"/>
    <w:unhideWhenUsed/>
    <w:qFormat/>
    <w:rsid w:val="00E84CB3"/>
    <w:pPr>
      <w:jc w:val="left"/>
    </w:pPr>
    <w:rPr>
      <w:rFonts w:ascii="宋体" w:hAnsi="宋体" w:cs="宋体"/>
      <w:sz w:val="24"/>
    </w:rPr>
  </w:style>
  <w:style w:type="character" w:customStyle="1" w:styleId="af">
    <w:name w:val="批注文字 字符"/>
    <w:basedOn w:val="a0"/>
    <w:link w:val="ae"/>
    <w:qFormat/>
    <w:rsid w:val="00E84CB3"/>
    <w:rPr>
      <w:rFonts w:ascii="宋体" w:eastAsia="宋体" w:hAnsi="宋体" w:cs="宋体"/>
      <w:sz w:val="24"/>
      <w:szCs w:val="24"/>
    </w:rPr>
  </w:style>
  <w:style w:type="paragraph" w:customStyle="1" w:styleId="11">
    <w:name w:val="列出段落1"/>
    <w:basedOn w:val="a"/>
    <w:qFormat/>
    <w:rsid w:val="00E84CB3"/>
    <w:pPr>
      <w:ind w:firstLineChars="200" w:firstLine="420"/>
    </w:pPr>
    <w:rPr>
      <w:rFonts w:ascii="Calibri" w:hAnsi="Calibri" w:cs="黑体"/>
      <w:szCs w:val="22"/>
    </w:rPr>
  </w:style>
  <w:style w:type="character" w:styleId="af0">
    <w:name w:val="page number"/>
    <w:qFormat/>
    <w:rsid w:val="00D2114A"/>
  </w:style>
  <w:style w:type="character" w:styleId="af1">
    <w:name w:val="line number"/>
    <w:qFormat/>
    <w:rsid w:val="00D2114A"/>
  </w:style>
  <w:style w:type="character" w:styleId="af2">
    <w:name w:val="annotation reference"/>
    <w:uiPriority w:val="99"/>
    <w:qFormat/>
    <w:rsid w:val="00D2114A"/>
    <w:rPr>
      <w:sz w:val="21"/>
      <w:szCs w:val="21"/>
    </w:rPr>
  </w:style>
  <w:style w:type="character" w:customStyle="1" w:styleId="af3">
    <w:name w:val="日期 字符"/>
    <w:link w:val="af4"/>
    <w:qFormat/>
    <w:rsid w:val="00D2114A"/>
    <w:rPr>
      <w:szCs w:val="24"/>
    </w:rPr>
  </w:style>
  <w:style w:type="paragraph" w:styleId="af4">
    <w:name w:val="Date"/>
    <w:basedOn w:val="a"/>
    <w:next w:val="a"/>
    <w:link w:val="af3"/>
    <w:qFormat/>
    <w:rsid w:val="00D2114A"/>
    <w:pPr>
      <w:ind w:leftChars="2500" w:left="100"/>
    </w:pPr>
    <w:rPr>
      <w:rFonts w:asciiTheme="minorHAnsi" w:eastAsiaTheme="minorEastAsia" w:hAnsiTheme="minorHAnsi" w:cstheme="minorBidi"/>
    </w:rPr>
  </w:style>
  <w:style w:type="character" w:customStyle="1" w:styleId="af5">
    <w:name w:val="批注主题 字符"/>
    <w:link w:val="af6"/>
    <w:qFormat/>
    <w:rsid w:val="00D2114A"/>
    <w:rPr>
      <w:b/>
      <w:bCs/>
      <w:szCs w:val="24"/>
    </w:rPr>
  </w:style>
  <w:style w:type="paragraph" w:styleId="af6">
    <w:name w:val="annotation subject"/>
    <w:basedOn w:val="ae"/>
    <w:next w:val="ae"/>
    <w:link w:val="af5"/>
    <w:qFormat/>
    <w:rsid w:val="00D2114A"/>
    <w:rPr>
      <w:rFonts w:asciiTheme="minorHAnsi" w:eastAsiaTheme="minorEastAsia" w:hAnsiTheme="minorHAnsi" w:cstheme="minorBidi"/>
      <w:b/>
      <w:bCs/>
      <w:sz w:val="21"/>
    </w:rPr>
  </w:style>
  <w:style w:type="character" w:customStyle="1" w:styleId="af7">
    <w:name w:val="正文文本 字符"/>
    <w:link w:val="af8"/>
    <w:qFormat/>
    <w:rsid w:val="00D2114A"/>
    <w:rPr>
      <w:rFonts w:ascii="Times New Roman" w:hAnsi="Times New Roman"/>
      <w:szCs w:val="24"/>
    </w:rPr>
  </w:style>
  <w:style w:type="paragraph" w:styleId="af8">
    <w:name w:val="Body Text"/>
    <w:basedOn w:val="a"/>
    <w:link w:val="af7"/>
    <w:qFormat/>
    <w:rsid w:val="00D2114A"/>
    <w:pPr>
      <w:spacing w:after="120"/>
    </w:pPr>
    <w:rPr>
      <w:rFonts w:eastAsiaTheme="minorEastAsia" w:cstheme="minorBidi"/>
    </w:rPr>
  </w:style>
  <w:style w:type="character" w:customStyle="1" w:styleId="af9">
    <w:name w:val="文档结构图 字符"/>
    <w:basedOn w:val="a0"/>
    <w:link w:val="afa"/>
    <w:semiHidden/>
    <w:rsid w:val="00D2114A"/>
    <w:rPr>
      <w:rFonts w:ascii="Times New Roman" w:eastAsia="宋体" w:hAnsi="Times New Roman" w:cs="Times New Roman"/>
      <w:szCs w:val="24"/>
      <w:shd w:val="clear" w:color="auto" w:fill="000080"/>
    </w:rPr>
  </w:style>
  <w:style w:type="paragraph" w:styleId="afa">
    <w:name w:val="Document Map"/>
    <w:basedOn w:val="a"/>
    <w:link w:val="af9"/>
    <w:semiHidden/>
    <w:rsid w:val="00D2114A"/>
    <w:pPr>
      <w:shd w:val="clear" w:color="auto" w:fill="000080"/>
    </w:pPr>
  </w:style>
  <w:style w:type="character" w:customStyle="1" w:styleId="12">
    <w:name w:val="日期 字符1"/>
    <w:basedOn w:val="a0"/>
    <w:uiPriority w:val="99"/>
    <w:semiHidden/>
    <w:rsid w:val="00D2114A"/>
    <w:rPr>
      <w:rFonts w:ascii="Times New Roman" w:eastAsia="宋体" w:hAnsi="Times New Roman" w:cs="Times New Roman"/>
      <w:szCs w:val="24"/>
    </w:rPr>
  </w:style>
  <w:style w:type="character" w:customStyle="1" w:styleId="13">
    <w:name w:val="正文文本 字符1"/>
    <w:basedOn w:val="a0"/>
    <w:uiPriority w:val="99"/>
    <w:semiHidden/>
    <w:rsid w:val="00D2114A"/>
    <w:rPr>
      <w:rFonts w:ascii="Times New Roman" w:eastAsia="宋体" w:hAnsi="Times New Roman" w:cs="Times New Roman"/>
      <w:szCs w:val="24"/>
    </w:rPr>
  </w:style>
  <w:style w:type="character" w:customStyle="1" w:styleId="14">
    <w:name w:val="批注主题 字符1"/>
    <w:basedOn w:val="af"/>
    <w:uiPriority w:val="99"/>
    <w:semiHidden/>
    <w:rsid w:val="00D2114A"/>
    <w:rPr>
      <w:rFonts w:ascii="Times New Roman" w:eastAsia="宋体" w:hAnsi="Times New Roman" w:cs="Times New Roman"/>
      <w:b/>
      <w:bCs/>
      <w:sz w:val="24"/>
      <w:szCs w:val="24"/>
    </w:rPr>
  </w:style>
  <w:style w:type="paragraph" w:styleId="afb">
    <w:name w:val="Revision"/>
    <w:hidden/>
    <w:uiPriority w:val="99"/>
    <w:unhideWhenUsed/>
    <w:rsid w:val="00D2114A"/>
    <w:rPr>
      <w:rFonts w:ascii="Times New Roman" w:eastAsia="宋体" w:hAnsi="Times New Roman" w:cs="Times New Roman"/>
      <w:szCs w:val="24"/>
    </w:rPr>
  </w:style>
  <w:style w:type="paragraph" w:customStyle="1" w:styleId="Default">
    <w:name w:val="Default"/>
    <w:qFormat/>
    <w:rsid w:val="00D2114A"/>
    <w:pPr>
      <w:widowControl w:val="0"/>
      <w:autoSpaceDE w:val="0"/>
      <w:autoSpaceDN w:val="0"/>
      <w:adjustRightInd w:val="0"/>
    </w:pPr>
    <w:rPr>
      <w:rFonts w:ascii="黑体" w:eastAsia="黑体" w:hAnsi="Times New Roman" w:cs="黑体"/>
      <w:color w:val="000000"/>
      <w:kern w:val="0"/>
      <w:sz w:val="24"/>
      <w:szCs w:val="24"/>
    </w:rPr>
  </w:style>
  <w:style w:type="table" w:styleId="afc">
    <w:name w:val="Table Grid"/>
    <w:basedOn w:val="a1"/>
    <w:uiPriority w:val="59"/>
    <w:qFormat/>
    <w:rsid w:val="00D941B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普通(Web)"/>
    <w:basedOn w:val="a"/>
    <w:qFormat/>
    <w:rsid w:val="00137012"/>
    <w:pPr>
      <w:widowControl/>
      <w:spacing w:before="100" w:beforeAutospacing="1" w:after="100" w:afterAutospacing="1"/>
      <w:jc w:val="left"/>
    </w:pPr>
    <w:rPr>
      <w:rFonts w:ascii="宋体" w:hAnsi="宋体"/>
      <w:color w:val="000000"/>
      <w:kern w:val="0"/>
      <w:sz w:val="24"/>
    </w:rPr>
  </w:style>
  <w:style w:type="paragraph" w:styleId="afd">
    <w:name w:val="footnote text"/>
    <w:basedOn w:val="a"/>
    <w:link w:val="afe"/>
    <w:unhideWhenUsed/>
    <w:qFormat/>
    <w:rsid w:val="002D5575"/>
    <w:pPr>
      <w:snapToGrid w:val="0"/>
      <w:jc w:val="left"/>
    </w:pPr>
    <w:rPr>
      <w:rFonts w:eastAsia="Adobe 仿宋 Std R"/>
      <w:sz w:val="18"/>
      <w:szCs w:val="18"/>
    </w:rPr>
  </w:style>
  <w:style w:type="character" w:customStyle="1" w:styleId="afe">
    <w:name w:val="脚注文本 字符"/>
    <w:basedOn w:val="a0"/>
    <w:link w:val="afd"/>
    <w:uiPriority w:val="99"/>
    <w:semiHidden/>
    <w:rsid w:val="002D5575"/>
    <w:rPr>
      <w:rFonts w:ascii="Times New Roman" w:eastAsia="Adobe 仿宋 Std R" w:hAnsi="Times New Roman" w:cs="Times New Roman"/>
      <w:sz w:val="18"/>
      <w:szCs w:val="18"/>
    </w:rPr>
  </w:style>
  <w:style w:type="character" w:styleId="aff">
    <w:name w:val="footnote reference"/>
    <w:unhideWhenUsed/>
    <w:qFormat/>
    <w:rsid w:val="002D5575"/>
    <w:rPr>
      <w:vertAlign w:val="superscript"/>
    </w:rPr>
  </w:style>
  <w:style w:type="character" w:styleId="aff0">
    <w:name w:val="Hyperlink"/>
    <w:basedOn w:val="a0"/>
    <w:qFormat/>
    <w:rsid w:val="004067A3"/>
    <w:rPr>
      <w:color w:val="0000FF"/>
      <w:u w:val="single"/>
    </w:rPr>
  </w:style>
  <w:style w:type="paragraph" w:customStyle="1" w:styleId="TableText">
    <w:name w:val="Table Text"/>
    <w:basedOn w:val="a"/>
    <w:semiHidden/>
    <w:qFormat/>
    <w:rsid w:val="00CB546B"/>
    <w:rPr>
      <w:rFonts w:ascii="Arial" w:eastAsia="Arial" w:hAnsi="Arial" w:cs="Arial"/>
      <w:szCs w:val="21"/>
      <w:lang w:eastAsia="en-US"/>
    </w:rPr>
  </w:style>
  <w:style w:type="table" w:customStyle="1" w:styleId="TableNormal">
    <w:name w:val="Table Normal"/>
    <w:unhideWhenUsed/>
    <w:qFormat/>
    <w:rsid w:val="00CB546B"/>
    <w:rPr>
      <w:rFonts w:ascii="Calibri" w:eastAsia="宋体" w:hAnsi="Calibri"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048139">
      <w:bodyDiv w:val="1"/>
      <w:marLeft w:val="0"/>
      <w:marRight w:val="0"/>
      <w:marTop w:val="0"/>
      <w:marBottom w:val="0"/>
      <w:divBdr>
        <w:top w:val="none" w:sz="0" w:space="0" w:color="auto"/>
        <w:left w:val="none" w:sz="0" w:space="0" w:color="auto"/>
        <w:bottom w:val="none" w:sz="0" w:space="0" w:color="auto"/>
        <w:right w:val="none" w:sz="0" w:space="0" w:color="auto"/>
      </w:divBdr>
    </w:div>
    <w:div w:id="170605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60537-B5B1-4EE6-8674-69F55E767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1308</Words>
  <Characters>7458</Characters>
  <Application>Microsoft Office Word</Application>
  <DocSecurity>0</DocSecurity>
  <Lines>62</Lines>
  <Paragraphs>17</Paragraphs>
  <ScaleCrop>false</ScaleCrop>
  <Company>神州网信技术有限公司</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屈贝贝</cp:lastModifiedBy>
  <cp:revision>9</cp:revision>
  <cp:lastPrinted>2025-08-19T00:45:00Z</cp:lastPrinted>
  <dcterms:created xsi:type="dcterms:W3CDTF">2025-08-20T02:13:00Z</dcterms:created>
  <dcterms:modified xsi:type="dcterms:W3CDTF">2025-08-21T02:13:00Z</dcterms:modified>
</cp:coreProperties>
</file>